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190FA19C" w:rsidR="00B617AE" w:rsidRPr="008375E1" w:rsidRDefault="00CD7E54" w:rsidP="00B617AE">
      <w:pPr>
        <w:pStyle w:val="Heading1"/>
        <w:spacing w:before="0"/>
        <w:rPr>
          <w:rFonts w:ascii="Arial" w:hAnsi="Arial" w:cs="Arial"/>
          <w:color w:val="0F243E" w:themeColor="text2" w:themeShade="80"/>
          <w:sz w:val="32"/>
          <w:szCs w:val="32"/>
        </w:rPr>
      </w:pPr>
      <w:r>
        <w:rPr>
          <w:rFonts w:ascii="Arial" w:hAnsi="Arial" w:cs="Arial"/>
          <w:color w:val="0F243E" w:themeColor="text2" w:themeShade="80"/>
          <w:sz w:val="32"/>
          <w:szCs w:val="32"/>
        </w:rPr>
        <w:t>First Half of 2025 Delivers Growth for Frozen and Canned Seafood</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Default="004A26DF" w:rsidP="00680C52">
      <w:pPr>
        <w:pStyle w:val="NoSpacing"/>
        <w:rPr>
          <w:rFonts w:ascii="Arial" w:hAnsi="Arial" w:cs="Arial"/>
          <w:sz w:val="20"/>
          <w:szCs w:val="20"/>
        </w:rPr>
      </w:pPr>
    </w:p>
    <w:p w14:paraId="4FAA18EF" w14:textId="1318773A" w:rsidR="003B2ECF" w:rsidRPr="003B2ECF" w:rsidRDefault="00CD7E54"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sidRPr="00CD7E54">
        <w:rPr>
          <w:rFonts w:ascii="Arial" w:hAnsi="Arial" w:cs="Arial"/>
          <w:b/>
          <w:bCs/>
          <w:color w:val="00857C"/>
          <w:sz w:val="24"/>
          <w:szCs w:val="24"/>
        </w:rPr>
        <w:t>Month</w:t>
      </w:r>
      <w:r>
        <w:rPr>
          <w:rFonts w:ascii="Arial" w:hAnsi="Arial" w:cs="Arial"/>
          <w:b/>
          <w:bCs/>
          <w:color w:val="00857C"/>
          <w:sz w:val="24"/>
          <w:szCs w:val="24"/>
        </w:rPr>
        <w:t xml:space="preserve"> in </w:t>
      </w:r>
      <w:r w:rsidR="003B2ECF" w:rsidRPr="003B2ECF">
        <w:rPr>
          <w:rFonts w:ascii="Arial" w:hAnsi="Arial" w:cs="Arial"/>
          <w:b/>
          <w:bCs/>
          <w:color w:val="00857C"/>
          <w:sz w:val="24"/>
          <w:szCs w:val="24"/>
        </w:rPr>
        <w:t>Review</w:t>
      </w:r>
    </w:p>
    <w:bookmarkEnd w:id="0"/>
    <w:bookmarkEnd w:id="1"/>
    <w:bookmarkEnd w:id="2"/>
    <w:bookmarkEnd w:id="3"/>
    <w:p w14:paraId="14B76108" w14:textId="77777777" w:rsidR="00CD7E54" w:rsidRPr="00F809D5" w:rsidRDefault="00CD7E54" w:rsidP="00CD7E54">
      <w:pPr>
        <w:pStyle w:val="NoSpacing"/>
        <w:numPr>
          <w:ilvl w:val="0"/>
          <w:numId w:val="6"/>
        </w:numPr>
        <w:rPr>
          <w:rFonts w:ascii="Arial" w:hAnsi="Arial" w:cs="Arial"/>
          <w:sz w:val="20"/>
          <w:szCs w:val="20"/>
        </w:rPr>
      </w:pPr>
      <w:r w:rsidRPr="00F809D5">
        <w:rPr>
          <w:rFonts w:ascii="Arial" w:hAnsi="Arial" w:cs="Arial"/>
          <w:sz w:val="20"/>
          <w:szCs w:val="20"/>
        </w:rPr>
        <w:t xml:space="preserve">After plateauing in May, consumer sentiment improved in June 2025, according to the University of Michigan. The index increased to 60.7 points from 52.2 points in May. The improvement was seen across numerous facets of the economy, with expectations for personal finances and business conditions climbing about 20% or more. Despite June’s gains, sentiment remains about 18% below December 2024. </w:t>
      </w:r>
    </w:p>
    <w:p w14:paraId="5A12349D" w14:textId="77777777" w:rsidR="00CD7E54" w:rsidRPr="00F809D5" w:rsidRDefault="00CD7E54" w:rsidP="00CD7E54">
      <w:pPr>
        <w:pStyle w:val="NoSpacing"/>
        <w:numPr>
          <w:ilvl w:val="0"/>
          <w:numId w:val="6"/>
        </w:numPr>
        <w:rPr>
          <w:rFonts w:ascii="Arial" w:hAnsi="Arial" w:cs="Arial"/>
          <w:sz w:val="20"/>
          <w:szCs w:val="20"/>
        </w:rPr>
      </w:pPr>
      <w:r w:rsidRPr="00F809D5">
        <w:rPr>
          <w:rFonts w:ascii="Arial" w:hAnsi="Arial" w:cs="Arial"/>
          <w:sz w:val="20"/>
          <w:szCs w:val="20"/>
        </w:rPr>
        <w:t xml:space="preserve">Several publicly-traded retail and foodservice companies added language on tariffs in the risk sections of their annual and quarterly reporting. Consumer sentiment relative to tariffs held steady in May after support fell for several months over concerns regarding their potential impact on prices, product availability and employment. </w:t>
      </w:r>
    </w:p>
    <w:p w14:paraId="07795A88" w14:textId="6A9EBF5C" w:rsidR="00CD7E54" w:rsidRPr="00F809D5" w:rsidRDefault="00CD7E54" w:rsidP="00CD7E54">
      <w:pPr>
        <w:pStyle w:val="NoSpacing"/>
        <w:numPr>
          <w:ilvl w:val="0"/>
          <w:numId w:val="6"/>
        </w:numPr>
        <w:rPr>
          <w:rFonts w:ascii="Arial" w:hAnsi="Arial" w:cs="Arial"/>
          <w:sz w:val="20"/>
          <w:szCs w:val="20"/>
        </w:rPr>
      </w:pPr>
      <w:r w:rsidRPr="00F809D5">
        <w:rPr>
          <w:rFonts w:ascii="Arial" w:hAnsi="Arial" w:cs="Arial"/>
          <w:sz w:val="20"/>
          <w:szCs w:val="20"/>
        </w:rPr>
        <w:t xml:space="preserve">The Consumer Price Index rose 2.4% year-over-year in May, according to federal data, mostly unchanged from April. Consumer food costs increased 2.9%, including 3.8% for restaurants. Already starting a higher price point, the continued above-average increases for foodservice </w:t>
      </w:r>
      <w:r w:rsidR="00F5786C">
        <w:rPr>
          <w:rFonts w:ascii="Arial" w:hAnsi="Arial" w:cs="Arial"/>
          <w:sz w:val="20"/>
          <w:szCs w:val="20"/>
        </w:rPr>
        <w:t>prompt</w:t>
      </w:r>
      <w:r w:rsidRPr="00F809D5">
        <w:rPr>
          <w:rFonts w:ascii="Arial" w:hAnsi="Arial" w:cs="Arial"/>
          <w:sz w:val="20"/>
          <w:szCs w:val="20"/>
        </w:rPr>
        <w:t xml:space="preserve"> a continued retail-centric meal landscape for most consumers. </w:t>
      </w:r>
    </w:p>
    <w:p w14:paraId="5592D1AC" w14:textId="77777777" w:rsidR="00CD7E54" w:rsidRPr="00F809D5" w:rsidRDefault="00CD7E54" w:rsidP="00CD7E54">
      <w:pPr>
        <w:pStyle w:val="NoSpacing"/>
        <w:numPr>
          <w:ilvl w:val="0"/>
          <w:numId w:val="6"/>
        </w:numPr>
        <w:rPr>
          <w:rFonts w:ascii="Arial" w:hAnsi="Arial" w:cs="Arial"/>
          <w:sz w:val="20"/>
          <w:szCs w:val="20"/>
        </w:rPr>
      </w:pPr>
      <w:r w:rsidRPr="00F809D5">
        <w:rPr>
          <w:rFonts w:ascii="Arial" w:hAnsi="Arial" w:cs="Arial"/>
          <w:sz w:val="20"/>
          <w:szCs w:val="20"/>
        </w:rPr>
        <w:t xml:space="preserve">When shopping for groceries, decisions continue to reflect the “world of and” in which price is important but usually in combination with other factors such as time/convenience, mood, nutrition, sustainability, etc. </w:t>
      </w:r>
    </w:p>
    <w:p w14:paraId="728A9FB4" w14:textId="7AC7B52D" w:rsidR="008B7143" w:rsidRPr="00CD7E54" w:rsidRDefault="00CD7E54" w:rsidP="00CD7E54">
      <w:pPr>
        <w:pStyle w:val="NoSpacing"/>
        <w:numPr>
          <w:ilvl w:val="0"/>
          <w:numId w:val="6"/>
        </w:numPr>
        <w:rPr>
          <w:rFonts w:ascii="Arial" w:hAnsi="Arial" w:cs="Arial"/>
          <w:sz w:val="20"/>
          <w:szCs w:val="20"/>
        </w:rPr>
      </w:pPr>
      <w:r w:rsidRPr="00F809D5">
        <w:rPr>
          <w:rFonts w:ascii="Arial" w:hAnsi="Arial" w:cs="Arial"/>
          <w:sz w:val="20"/>
          <w:szCs w:val="20"/>
        </w:rPr>
        <w:t>Holidays remain a time to splurge a little. The week leading up to Father’s Day (6/15) was the biggest of the four June weeks, at $18.6 billion in total food and beverage spending.</w:t>
      </w:r>
    </w:p>
    <w:p w14:paraId="4B1DAA9C" w14:textId="77777777" w:rsidR="008B7143" w:rsidRPr="003830CA" w:rsidRDefault="008B7143" w:rsidP="008B7143">
      <w:pPr>
        <w:pStyle w:val="NoSpacing"/>
        <w:rPr>
          <w:rFonts w:ascii="Arial" w:hAnsi="Arial" w:cs="Arial"/>
          <w:sz w:val="20"/>
          <w:szCs w:val="20"/>
        </w:rPr>
      </w:pPr>
    </w:p>
    <w:p w14:paraId="4C270401" w14:textId="77777777" w:rsidR="008B7143" w:rsidRPr="003830CA" w:rsidRDefault="008B7143" w:rsidP="008B7143">
      <w:pPr>
        <w:pStyle w:val="NoSpacing"/>
        <w:rPr>
          <w:rFonts w:ascii="Arial" w:hAnsi="Arial" w:cs="Arial"/>
          <w:sz w:val="20"/>
          <w:szCs w:val="20"/>
        </w:rPr>
      </w:pPr>
    </w:p>
    <w:p w14:paraId="0FD17255" w14:textId="77777777" w:rsidR="008B7143" w:rsidRPr="00CD7E54" w:rsidRDefault="008B7143" w:rsidP="008B7143">
      <w:pPr>
        <w:pStyle w:val="NoSpacing"/>
        <w:rPr>
          <w:rFonts w:ascii="Arial" w:hAnsi="Arial" w:cs="Arial"/>
          <w:b/>
          <w:color w:val="00857C"/>
          <w:sz w:val="24"/>
          <w:szCs w:val="24"/>
        </w:rPr>
      </w:pPr>
      <w:r w:rsidRPr="00CD7E54">
        <w:rPr>
          <w:rFonts w:ascii="Arial" w:hAnsi="Arial" w:cs="Arial"/>
          <w:b/>
          <w:color w:val="00857C"/>
          <w:sz w:val="24"/>
          <w:szCs w:val="24"/>
        </w:rPr>
        <w:t>Inflation Insights</w:t>
      </w:r>
    </w:p>
    <w:p w14:paraId="711BE3CB" w14:textId="5253879E" w:rsidR="008B7143" w:rsidRPr="003830CA" w:rsidRDefault="008B7143" w:rsidP="008B7143">
      <w:pPr>
        <w:pStyle w:val="NoSpacing"/>
        <w:rPr>
          <w:rFonts w:ascii="Arial" w:hAnsi="Arial" w:cs="Arial"/>
          <w:sz w:val="20"/>
          <w:szCs w:val="20"/>
        </w:rPr>
      </w:pPr>
      <w:bookmarkStart w:id="4" w:name="_Hlk182721801"/>
      <w:r w:rsidRPr="003830CA">
        <w:rPr>
          <w:rFonts w:ascii="Arial" w:hAnsi="Arial" w:cs="Arial"/>
          <w:sz w:val="20"/>
          <w:szCs w:val="20"/>
        </w:rPr>
        <w:t xml:space="preserve">In </w:t>
      </w:r>
      <w:r w:rsidR="00CD7E54">
        <w:rPr>
          <w:rFonts w:ascii="Arial" w:hAnsi="Arial" w:cs="Arial"/>
          <w:sz w:val="20"/>
          <w:szCs w:val="20"/>
        </w:rPr>
        <w:t>June</w:t>
      </w:r>
      <w:r>
        <w:rPr>
          <w:rFonts w:ascii="Arial" w:hAnsi="Arial" w:cs="Arial"/>
          <w:sz w:val="20"/>
          <w:szCs w:val="20"/>
        </w:rPr>
        <w:t xml:space="preserve"> </w:t>
      </w:r>
      <w:r w:rsidRPr="003830CA">
        <w:rPr>
          <w:rFonts w:ascii="Arial" w:hAnsi="Arial" w:cs="Arial"/>
          <w:sz w:val="20"/>
          <w:szCs w:val="20"/>
        </w:rPr>
        <w:t xml:space="preserve">2025 (the four weeks ending </w:t>
      </w:r>
      <w:r w:rsidR="00CD7E54">
        <w:rPr>
          <w:rFonts w:ascii="Arial" w:hAnsi="Arial" w:cs="Arial"/>
          <w:sz w:val="20"/>
          <w:szCs w:val="20"/>
        </w:rPr>
        <w:t>6</w:t>
      </w:r>
      <w:r w:rsidRPr="003830CA">
        <w:rPr>
          <w:rFonts w:ascii="Arial" w:hAnsi="Arial" w:cs="Arial"/>
          <w:sz w:val="20"/>
          <w:szCs w:val="20"/>
        </w:rPr>
        <w:t>/</w:t>
      </w:r>
      <w:r>
        <w:rPr>
          <w:rFonts w:ascii="Arial" w:hAnsi="Arial" w:cs="Arial"/>
          <w:sz w:val="20"/>
          <w:szCs w:val="20"/>
        </w:rPr>
        <w:t>2</w:t>
      </w:r>
      <w:r w:rsidR="00CD7E54">
        <w:rPr>
          <w:rFonts w:ascii="Arial" w:hAnsi="Arial" w:cs="Arial"/>
          <w:sz w:val="20"/>
          <w:szCs w:val="20"/>
        </w:rPr>
        <w:t>9</w:t>
      </w:r>
      <w:r w:rsidRPr="003830CA">
        <w:rPr>
          <w:rFonts w:ascii="Arial" w:hAnsi="Arial" w:cs="Arial"/>
          <w:sz w:val="20"/>
          <w:szCs w:val="20"/>
        </w:rPr>
        <w:t xml:space="preserve">/2025), the price per unit across all foods and beverages in the </w:t>
      </w:r>
      <w:proofErr w:type="spellStart"/>
      <w:r w:rsidRPr="003830CA">
        <w:rPr>
          <w:rFonts w:ascii="Arial" w:hAnsi="Arial" w:cs="Arial"/>
          <w:sz w:val="20"/>
          <w:szCs w:val="20"/>
        </w:rPr>
        <w:t>Circana</w:t>
      </w:r>
      <w:proofErr w:type="spellEnd"/>
      <w:r w:rsidRPr="003830CA">
        <w:rPr>
          <w:rFonts w:ascii="Arial" w:hAnsi="Arial" w:cs="Arial"/>
          <w:sz w:val="20"/>
          <w:szCs w:val="20"/>
        </w:rPr>
        <w:t xml:space="preserve"> MULO+ universe stood at $4.3</w:t>
      </w:r>
      <w:r w:rsidR="00CD7E54">
        <w:rPr>
          <w:rFonts w:ascii="Arial" w:hAnsi="Arial" w:cs="Arial"/>
          <w:sz w:val="20"/>
          <w:szCs w:val="20"/>
        </w:rPr>
        <w:t>4</w:t>
      </w:r>
      <w:r w:rsidRPr="003830CA">
        <w:rPr>
          <w:rFonts w:ascii="Arial" w:hAnsi="Arial" w:cs="Arial"/>
          <w:sz w:val="20"/>
          <w:szCs w:val="20"/>
        </w:rPr>
        <w:t xml:space="preserve">. This reflects an increase of </w:t>
      </w:r>
      <w:r>
        <w:rPr>
          <w:rFonts w:ascii="Arial" w:hAnsi="Arial" w:cs="Arial"/>
          <w:sz w:val="20"/>
          <w:szCs w:val="20"/>
        </w:rPr>
        <w:t>2.</w:t>
      </w:r>
      <w:r w:rsidR="00CD7E54">
        <w:rPr>
          <w:rFonts w:ascii="Arial" w:hAnsi="Arial" w:cs="Arial"/>
          <w:sz w:val="20"/>
          <w:szCs w:val="20"/>
        </w:rPr>
        <w:t>6</w:t>
      </w:r>
      <w:r w:rsidRPr="003830CA">
        <w:rPr>
          <w:rFonts w:ascii="Arial" w:hAnsi="Arial" w:cs="Arial"/>
          <w:sz w:val="20"/>
          <w:szCs w:val="20"/>
        </w:rPr>
        <w:t xml:space="preserve">% over </w:t>
      </w:r>
      <w:r w:rsidR="00CD7E54">
        <w:rPr>
          <w:rFonts w:ascii="Arial" w:hAnsi="Arial" w:cs="Arial"/>
          <w:sz w:val="20"/>
          <w:szCs w:val="20"/>
        </w:rPr>
        <w:t xml:space="preserve">June </w:t>
      </w:r>
      <w:r w:rsidRPr="003830CA">
        <w:rPr>
          <w:rFonts w:ascii="Arial" w:hAnsi="Arial" w:cs="Arial"/>
          <w:sz w:val="20"/>
          <w:szCs w:val="20"/>
        </w:rPr>
        <w:t xml:space="preserve">2024. This is </w:t>
      </w:r>
      <w:r w:rsidR="00CD7E54">
        <w:rPr>
          <w:rFonts w:ascii="Arial" w:hAnsi="Arial" w:cs="Arial"/>
          <w:sz w:val="20"/>
          <w:szCs w:val="20"/>
        </w:rPr>
        <w:t>down slightly from the second-quarter increase and average unit price of $4.36.</w:t>
      </w:r>
    </w:p>
    <w:p w14:paraId="55FED66F" w14:textId="4B4385B7" w:rsidR="008B7143" w:rsidRPr="003830CA" w:rsidRDefault="008B7143" w:rsidP="008B7143">
      <w:pPr>
        <w:pStyle w:val="NoSpacing"/>
        <w:numPr>
          <w:ilvl w:val="0"/>
          <w:numId w:val="9"/>
        </w:numPr>
        <w:rPr>
          <w:rFonts w:ascii="Arial" w:hAnsi="Arial" w:cs="Arial"/>
          <w:sz w:val="20"/>
          <w:szCs w:val="20"/>
        </w:rPr>
      </w:pPr>
      <w:r w:rsidRPr="003830CA">
        <w:rPr>
          <w:rFonts w:ascii="Arial" w:hAnsi="Arial" w:cs="Arial"/>
          <w:sz w:val="20"/>
          <w:szCs w:val="20"/>
        </w:rPr>
        <w:t>Center-store prices averaged $4.</w:t>
      </w:r>
      <w:r w:rsidR="00CD7E54">
        <w:rPr>
          <w:rFonts w:ascii="Arial" w:hAnsi="Arial" w:cs="Arial"/>
          <w:sz w:val="20"/>
          <w:szCs w:val="20"/>
        </w:rPr>
        <w:t>09</w:t>
      </w:r>
      <w:r w:rsidRPr="003830CA">
        <w:rPr>
          <w:rFonts w:ascii="Arial" w:hAnsi="Arial" w:cs="Arial"/>
          <w:sz w:val="20"/>
          <w:szCs w:val="20"/>
        </w:rPr>
        <w:t xml:space="preserve">, an increase of </w:t>
      </w:r>
      <w:r w:rsidR="00CD7E54">
        <w:rPr>
          <w:rFonts w:ascii="Arial" w:hAnsi="Arial" w:cs="Arial"/>
          <w:sz w:val="20"/>
          <w:szCs w:val="20"/>
        </w:rPr>
        <w:t>2.5</w:t>
      </w:r>
      <w:r w:rsidRPr="003830CA">
        <w:rPr>
          <w:rFonts w:ascii="Arial" w:hAnsi="Arial" w:cs="Arial"/>
          <w:sz w:val="20"/>
          <w:szCs w:val="20"/>
        </w:rPr>
        <w:t xml:space="preserve">% over </w:t>
      </w:r>
      <w:r w:rsidR="00CD7E54">
        <w:rPr>
          <w:rFonts w:ascii="Arial" w:hAnsi="Arial" w:cs="Arial"/>
          <w:sz w:val="20"/>
          <w:szCs w:val="20"/>
        </w:rPr>
        <w:t>June</w:t>
      </w:r>
      <w:r>
        <w:rPr>
          <w:rFonts w:ascii="Arial" w:hAnsi="Arial" w:cs="Arial"/>
          <w:sz w:val="20"/>
          <w:szCs w:val="20"/>
        </w:rPr>
        <w:t xml:space="preserve"> </w:t>
      </w:r>
      <w:r w:rsidRPr="003830CA">
        <w:rPr>
          <w:rFonts w:ascii="Arial" w:hAnsi="Arial" w:cs="Arial"/>
          <w:sz w:val="20"/>
          <w:szCs w:val="20"/>
        </w:rPr>
        <w:t xml:space="preserve">2024. </w:t>
      </w:r>
    </w:p>
    <w:p w14:paraId="2AE010ED" w14:textId="257B75D5" w:rsidR="008B7143" w:rsidRPr="003830CA" w:rsidRDefault="008B7143" w:rsidP="00CD7E54">
      <w:pPr>
        <w:pStyle w:val="NoSpacing"/>
        <w:numPr>
          <w:ilvl w:val="0"/>
          <w:numId w:val="9"/>
        </w:numPr>
        <w:rPr>
          <w:rFonts w:ascii="Arial" w:hAnsi="Arial" w:cs="Arial"/>
          <w:sz w:val="20"/>
          <w:szCs w:val="20"/>
        </w:rPr>
      </w:pPr>
      <w:r w:rsidRPr="003830CA">
        <w:rPr>
          <w:rFonts w:ascii="Arial" w:hAnsi="Arial" w:cs="Arial"/>
          <w:sz w:val="20"/>
          <w:szCs w:val="20"/>
        </w:rPr>
        <w:t>Fresh food prices averaged $4.</w:t>
      </w:r>
      <w:r w:rsidR="00CD7E54">
        <w:rPr>
          <w:rFonts w:ascii="Arial" w:hAnsi="Arial" w:cs="Arial"/>
          <w:sz w:val="20"/>
          <w:szCs w:val="20"/>
        </w:rPr>
        <w:t>27</w:t>
      </w:r>
      <w:r w:rsidRPr="003830CA">
        <w:rPr>
          <w:rFonts w:ascii="Arial" w:hAnsi="Arial" w:cs="Arial"/>
          <w:sz w:val="20"/>
          <w:szCs w:val="20"/>
        </w:rPr>
        <w:t xml:space="preserve">, which was an increase of </w:t>
      </w:r>
      <w:r w:rsidR="00CD7E54">
        <w:rPr>
          <w:rFonts w:ascii="Arial" w:hAnsi="Arial" w:cs="Arial"/>
          <w:sz w:val="20"/>
          <w:szCs w:val="20"/>
        </w:rPr>
        <w:t>3.4</w:t>
      </w:r>
      <w:r w:rsidRPr="003830CA">
        <w:rPr>
          <w:rFonts w:ascii="Arial" w:hAnsi="Arial" w:cs="Arial"/>
          <w:sz w:val="20"/>
          <w:szCs w:val="20"/>
        </w:rPr>
        <w:t>%</w:t>
      </w:r>
      <w:r>
        <w:rPr>
          <w:rFonts w:ascii="Arial" w:hAnsi="Arial" w:cs="Arial"/>
          <w:sz w:val="20"/>
          <w:szCs w:val="20"/>
        </w:rPr>
        <w:t xml:space="preserve"> year-over-year</w:t>
      </w:r>
      <w:r w:rsidRPr="003830CA">
        <w:rPr>
          <w:rFonts w:ascii="Arial" w:hAnsi="Arial" w:cs="Arial"/>
          <w:sz w:val="20"/>
          <w:szCs w:val="20"/>
        </w:rPr>
        <w:t xml:space="preserve">. </w:t>
      </w:r>
      <w:r w:rsidR="00CD7E54">
        <w:rPr>
          <w:rFonts w:ascii="Arial" w:hAnsi="Arial" w:cs="Arial"/>
          <w:sz w:val="20"/>
          <w:szCs w:val="20"/>
        </w:rPr>
        <w:t xml:space="preserve">This reflects a combination of inflation for large categories, such as eggs and beef, and deflation for categories, such as vegetables. </w:t>
      </w:r>
    </w:p>
    <w:bookmarkEnd w:id="4"/>
    <w:p w14:paraId="70F6307B" w14:textId="77777777" w:rsidR="008B7143" w:rsidRDefault="008B7143" w:rsidP="008B7143">
      <w:pPr>
        <w:pStyle w:val="NoSpacing"/>
        <w:rPr>
          <w:rFonts w:ascii="Arial" w:hAnsi="Arial" w:cs="Arial"/>
          <w:sz w:val="20"/>
          <w:szCs w:val="20"/>
        </w:rPr>
      </w:pPr>
    </w:p>
    <w:tbl>
      <w:tblPr>
        <w:tblStyle w:val="GridTable4"/>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5"/>
        <w:gridCol w:w="845"/>
        <w:gridCol w:w="846"/>
        <w:gridCol w:w="845"/>
        <w:gridCol w:w="845"/>
        <w:gridCol w:w="846"/>
        <w:gridCol w:w="845"/>
        <w:gridCol w:w="845"/>
        <w:gridCol w:w="846"/>
        <w:gridCol w:w="845"/>
        <w:gridCol w:w="846"/>
      </w:tblGrid>
      <w:tr w:rsidR="00CD7E54" w:rsidRPr="00545B05" w14:paraId="1B5192F4" w14:textId="77777777" w:rsidTr="00CD7E54">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41" w:type="dxa"/>
            <w:shd w:val="clear" w:color="auto" w:fill="17365D" w:themeFill="text2" w:themeFillShade="BF"/>
            <w:hideMark/>
          </w:tcPr>
          <w:p w14:paraId="2FAEDD77" w14:textId="77777777" w:rsidR="00CD7E54" w:rsidRPr="002E7AF4" w:rsidRDefault="00CD7E54" w:rsidP="00CD7E54">
            <w:pPr>
              <w:pStyle w:val="NoSpacing"/>
              <w:rPr>
                <w:rFonts w:ascii="Arial" w:hAnsi="Arial" w:cs="Arial"/>
                <w:sz w:val="18"/>
              </w:rPr>
            </w:pPr>
            <w:r w:rsidRPr="002E7AF4">
              <w:rPr>
                <w:rFonts w:ascii="Arial" w:hAnsi="Arial" w:cs="Arial"/>
                <w:sz w:val="18"/>
              </w:rPr>
              <w:t>Food &amp; beverages</w:t>
            </w:r>
          </w:p>
        </w:tc>
        <w:tc>
          <w:tcPr>
            <w:tcW w:w="845" w:type="dxa"/>
            <w:shd w:val="clear" w:color="auto" w:fill="17365D" w:themeFill="text2" w:themeFillShade="BF"/>
            <w:vAlign w:val="center"/>
            <w:hideMark/>
          </w:tcPr>
          <w:p w14:paraId="6272DE98"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45" w:type="dxa"/>
            <w:shd w:val="clear" w:color="auto" w:fill="17365D" w:themeFill="text2" w:themeFillShade="BF"/>
            <w:vAlign w:val="center"/>
            <w:hideMark/>
          </w:tcPr>
          <w:p w14:paraId="6BD2482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46" w:type="dxa"/>
            <w:shd w:val="clear" w:color="auto" w:fill="17365D" w:themeFill="text2" w:themeFillShade="BF"/>
            <w:vAlign w:val="center"/>
            <w:hideMark/>
          </w:tcPr>
          <w:p w14:paraId="7D27FA2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45" w:type="dxa"/>
            <w:shd w:val="clear" w:color="auto" w:fill="17365D" w:themeFill="text2" w:themeFillShade="BF"/>
            <w:vAlign w:val="center"/>
            <w:hideMark/>
          </w:tcPr>
          <w:p w14:paraId="01B59F17"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45" w:type="dxa"/>
            <w:shd w:val="clear" w:color="auto" w:fill="17365D" w:themeFill="text2" w:themeFillShade="BF"/>
            <w:vAlign w:val="center"/>
            <w:hideMark/>
          </w:tcPr>
          <w:p w14:paraId="2FA4E9E2"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46" w:type="dxa"/>
            <w:shd w:val="clear" w:color="auto" w:fill="17365D" w:themeFill="text2" w:themeFillShade="BF"/>
            <w:vAlign w:val="center"/>
          </w:tcPr>
          <w:p w14:paraId="64AD433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45" w:type="dxa"/>
            <w:shd w:val="clear" w:color="auto" w:fill="17365D" w:themeFill="text2" w:themeFillShade="BF"/>
            <w:vAlign w:val="center"/>
          </w:tcPr>
          <w:p w14:paraId="65F97E95" w14:textId="7A23D56E"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845" w:type="dxa"/>
            <w:shd w:val="clear" w:color="auto" w:fill="17365D" w:themeFill="text2" w:themeFillShade="BF"/>
            <w:vAlign w:val="center"/>
          </w:tcPr>
          <w:p w14:paraId="2F7A0AE6" w14:textId="1C6BD0CC"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46" w:type="dxa"/>
            <w:shd w:val="clear" w:color="auto" w:fill="17365D" w:themeFill="text2" w:themeFillShade="BF"/>
            <w:vAlign w:val="center"/>
          </w:tcPr>
          <w:p w14:paraId="7800DB30" w14:textId="027D2892"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845" w:type="dxa"/>
            <w:shd w:val="clear" w:color="auto" w:fill="17365D" w:themeFill="text2" w:themeFillShade="BF"/>
            <w:vAlign w:val="center"/>
            <w:hideMark/>
          </w:tcPr>
          <w:p w14:paraId="53E5C522" w14:textId="3DD411F1"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2</w:t>
            </w:r>
            <w:r>
              <w:rPr>
                <w:rFonts w:ascii="Arial" w:hAnsi="Arial" w:cs="Arial"/>
                <w:sz w:val="18"/>
              </w:rPr>
              <w:br/>
            </w:r>
            <w:r w:rsidRPr="002E7AF4">
              <w:rPr>
                <w:rFonts w:ascii="Arial" w:hAnsi="Arial" w:cs="Arial"/>
                <w:sz w:val="18"/>
              </w:rPr>
              <w:t>202</w:t>
            </w:r>
            <w:r>
              <w:rPr>
                <w:rFonts w:ascii="Arial" w:hAnsi="Arial" w:cs="Arial"/>
                <w:sz w:val="18"/>
              </w:rPr>
              <w:t>5</w:t>
            </w:r>
          </w:p>
        </w:tc>
        <w:tc>
          <w:tcPr>
            <w:tcW w:w="846" w:type="dxa"/>
            <w:shd w:val="clear" w:color="auto" w:fill="17365D" w:themeFill="text2" w:themeFillShade="BF"/>
            <w:vAlign w:val="center"/>
            <w:hideMark/>
          </w:tcPr>
          <w:p w14:paraId="30C89D91" w14:textId="0C2DDD0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June</w:t>
            </w:r>
            <w:r w:rsidRPr="002E7AF4">
              <w:rPr>
                <w:rFonts w:ascii="Arial" w:hAnsi="Arial" w:cs="Arial"/>
                <w:sz w:val="18"/>
              </w:rPr>
              <w:br/>
              <w:t>202</w:t>
            </w:r>
            <w:r>
              <w:rPr>
                <w:rFonts w:ascii="Arial" w:hAnsi="Arial" w:cs="Arial"/>
                <w:sz w:val="18"/>
              </w:rPr>
              <w:t>5</w:t>
            </w:r>
          </w:p>
        </w:tc>
      </w:tr>
      <w:tr w:rsidR="00CD7E54" w:rsidRPr="00545B05" w14:paraId="3B495959" w14:textId="77777777" w:rsidTr="00CD7E5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1" w:type="dxa"/>
          </w:tcPr>
          <w:p w14:paraId="237F54DD" w14:textId="77777777" w:rsidR="00CD7E54" w:rsidRPr="002E7AF4" w:rsidRDefault="00CD7E54" w:rsidP="00CD7E54">
            <w:pPr>
              <w:pStyle w:val="NoSpacing"/>
              <w:rPr>
                <w:rFonts w:ascii="Arial" w:hAnsi="Arial" w:cs="Arial"/>
                <w:sz w:val="18"/>
              </w:rPr>
            </w:pPr>
            <w:r w:rsidRPr="002E7AF4">
              <w:rPr>
                <w:rFonts w:ascii="Arial" w:hAnsi="Arial" w:cs="Arial"/>
                <w:sz w:val="18"/>
              </w:rPr>
              <w:t>PPU</w:t>
            </w:r>
          </w:p>
        </w:tc>
        <w:tc>
          <w:tcPr>
            <w:tcW w:w="845" w:type="dxa"/>
            <w:vAlign w:val="center"/>
          </w:tcPr>
          <w:p w14:paraId="66E75AEE"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45" w:type="dxa"/>
            <w:vAlign w:val="center"/>
          </w:tcPr>
          <w:p w14:paraId="54984296"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46" w:type="dxa"/>
            <w:vAlign w:val="center"/>
          </w:tcPr>
          <w:p w14:paraId="703F646F"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45" w:type="dxa"/>
            <w:vAlign w:val="center"/>
          </w:tcPr>
          <w:p w14:paraId="4AFCDE66"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45" w:type="dxa"/>
            <w:vAlign w:val="center"/>
          </w:tcPr>
          <w:p w14:paraId="61ECD46E"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46" w:type="dxa"/>
            <w:vAlign w:val="center"/>
          </w:tcPr>
          <w:p w14:paraId="559E76F2"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3B460CD6" w14:textId="491920C9"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09674F4D" w14:textId="2CCB97E5"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846" w:type="dxa"/>
            <w:vAlign w:val="center"/>
          </w:tcPr>
          <w:p w14:paraId="5B5A037B" w14:textId="1E82971B"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845" w:type="dxa"/>
            <w:vAlign w:val="center"/>
          </w:tcPr>
          <w:p w14:paraId="27445C9A" w14:textId="51F326DE"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4.36</w:t>
            </w:r>
          </w:p>
        </w:tc>
        <w:tc>
          <w:tcPr>
            <w:tcW w:w="846" w:type="dxa"/>
            <w:vAlign w:val="center"/>
          </w:tcPr>
          <w:p w14:paraId="04A14E66" w14:textId="49DD094C"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4.34</w:t>
            </w:r>
          </w:p>
        </w:tc>
      </w:tr>
      <w:tr w:rsidR="00CD7E54" w:rsidRPr="00545B05" w14:paraId="0CE6A56B" w14:textId="77777777" w:rsidTr="00CD7E54">
        <w:trPr>
          <w:trHeight w:val="256"/>
        </w:trPr>
        <w:tc>
          <w:tcPr>
            <w:cnfStyle w:val="001000000000" w:firstRow="0" w:lastRow="0" w:firstColumn="1" w:lastColumn="0" w:oddVBand="0" w:evenVBand="0" w:oddHBand="0" w:evenHBand="0" w:firstRowFirstColumn="0" w:firstRowLastColumn="0" w:lastRowFirstColumn="0" w:lastRowLastColumn="0"/>
            <w:tcW w:w="1141" w:type="dxa"/>
            <w:hideMark/>
          </w:tcPr>
          <w:p w14:paraId="07F59150" w14:textId="77777777" w:rsidR="00CD7E54" w:rsidRPr="002E7AF4" w:rsidRDefault="00CD7E54" w:rsidP="00CD7E54">
            <w:pPr>
              <w:pStyle w:val="NoSpacing"/>
              <w:rPr>
                <w:rFonts w:ascii="Arial" w:hAnsi="Arial" w:cs="Arial"/>
                <w:sz w:val="18"/>
              </w:rPr>
            </w:pPr>
            <w:r w:rsidRPr="002E7AF4">
              <w:rPr>
                <w:rFonts w:ascii="Arial" w:hAnsi="Arial" w:cs="Arial"/>
                <w:sz w:val="18"/>
              </w:rPr>
              <w:t xml:space="preserve">Change </w:t>
            </w:r>
          </w:p>
        </w:tc>
        <w:tc>
          <w:tcPr>
            <w:tcW w:w="845" w:type="dxa"/>
            <w:vAlign w:val="center"/>
            <w:hideMark/>
          </w:tcPr>
          <w:p w14:paraId="72D465B4"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45" w:type="dxa"/>
            <w:vAlign w:val="center"/>
            <w:hideMark/>
          </w:tcPr>
          <w:p w14:paraId="594E9AB5"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46" w:type="dxa"/>
            <w:vAlign w:val="center"/>
            <w:hideMark/>
          </w:tcPr>
          <w:p w14:paraId="3791F662"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45" w:type="dxa"/>
            <w:vAlign w:val="center"/>
            <w:hideMark/>
          </w:tcPr>
          <w:p w14:paraId="75A5E544"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45" w:type="dxa"/>
            <w:vAlign w:val="center"/>
            <w:hideMark/>
          </w:tcPr>
          <w:p w14:paraId="78594F78"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46" w:type="dxa"/>
            <w:vAlign w:val="center"/>
          </w:tcPr>
          <w:p w14:paraId="154AB2D8"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45" w:type="dxa"/>
            <w:vAlign w:val="center"/>
          </w:tcPr>
          <w:p w14:paraId="6DBBD2DF" w14:textId="77D7A2A8"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845" w:type="dxa"/>
            <w:vAlign w:val="center"/>
          </w:tcPr>
          <w:p w14:paraId="59959D03" w14:textId="4AA744AF"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846" w:type="dxa"/>
            <w:vAlign w:val="center"/>
          </w:tcPr>
          <w:p w14:paraId="5BB55A6C" w14:textId="1E637FC1"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845" w:type="dxa"/>
            <w:vAlign w:val="center"/>
            <w:hideMark/>
          </w:tcPr>
          <w:p w14:paraId="575AD55F" w14:textId="456BBACB"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2.7</w:t>
            </w:r>
            <w:r w:rsidRPr="002E7AF4">
              <w:rPr>
                <w:rFonts w:ascii="Arial" w:hAnsi="Arial" w:cs="Arial"/>
                <w:sz w:val="18"/>
              </w:rPr>
              <w:t>%</w:t>
            </w:r>
          </w:p>
        </w:tc>
        <w:tc>
          <w:tcPr>
            <w:tcW w:w="846" w:type="dxa"/>
            <w:vAlign w:val="center"/>
            <w:hideMark/>
          </w:tcPr>
          <w:p w14:paraId="52B88C2E" w14:textId="26A7C5DD"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2.6</w:t>
            </w:r>
            <w:r w:rsidRPr="002E7AF4">
              <w:rPr>
                <w:rFonts w:ascii="Arial" w:hAnsi="Arial" w:cs="Arial"/>
                <w:sz w:val="18"/>
              </w:rPr>
              <w:t>%</w:t>
            </w:r>
          </w:p>
        </w:tc>
      </w:tr>
    </w:tbl>
    <w:p w14:paraId="0764B225" w14:textId="77777777" w:rsidR="008B7143" w:rsidRPr="00492C26" w:rsidRDefault="008B7143" w:rsidP="008B7143">
      <w:pPr>
        <w:pStyle w:val="NoSpacing"/>
        <w:rPr>
          <w:sz w:val="8"/>
          <w:szCs w:val="8"/>
        </w:rPr>
      </w:pPr>
    </w:p>
    <w:p w14:paraId="3D12F8BA" w14:textId="77777777" w:rsidR="008B7143" w:rsidRPr="00B7673F" w:rsidRDefault="008B7143" w:rsidP="008B714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 xml:space="preserve">Source: </w:t>
      </w:r>
      <w:proofErr w:type="spellStart"/>
      <w:r w:rsidRPr="00B7673F">
        <w:rPr>
          <w:rFonts w:ascii="Arial" w:hAnsi="Arial" w:cs="Arial"/>
          <w:color w:val="7F7F7F" w:themeColor="text1" w:themeTint="80"/>
          <w:sz w:val="16"/>
          <w:szCs w:val="16"/>
        </w:rPr>
        <w:t>Circana</w:t>
      </w:r>
      <w:proofErr w:type="spellEnd"/>
      <w:r w:rsidRPr="00B7673F">
        <w:rPr>
          <w:rFonts w:ascii="Arial" w:hAnsi="Arial" w:cs="Arial"/>
          <w:color w:val="7F7F7F" w:themeColor="text1" w:themeTint="80"/>
          <w:sz w:val="16"/>
          <w:szCs w:val="16"/>
        </w:rPr>
        <w:t>, Integrated Fresh, Total U.S., MULO+</w:t>
      </w:r>
    </w:p>
    <w:p w14:paraId="2ED3DC6A" w14:textId="657A55D3" w:rsidR="00E9208C" w:rsidRDefault="00E9208C" w:rsidP="00CF02B0">
      <w:pPr>
        <w:spacing w:after="0" w:line="240" w:lineRule="auto"/>
        <w:rPr>
          <w:rFonts w:ascii="Arial" w:hAnsi="Arial" w:cs="Arial"/>
          <w:bCs/>
          <w:color w:val="000000" w:themeColor="text1"/>
          <w:sz w:val="20"/>
          <w:szCs w:val="20"/>
        </w:rPr>
      </w:pPr>
    </w:p>
    <w:p w14:paraId="1A77860E" w14:textId="11BE9C9E" w:rsidR="00DC5164" w:rsidRDefault="00FC4C8F" w:rsidP="00CF02B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 xml:space="preserve">Both frozen and fresh/refrigerated seafood experienced some slight inflation in the average price per pound in June 2025 compared to June 2024. The average fresh/refrigerated seafood price per pound did remain well below the $10-mark for combined finfish and shellfish. Finfish was the more expensive of the two on a per pound basis. Additionally, the fresh/refrigerated price per pound average of $9.78 sat well above the frozen seafood average of $7.56 </w:t>
      </w:r>
    </w:p>
    <w:p w14:paraId="00AA3C8B" w14:textId="77777777" w:rsidR="001544DD" w:rsidRPr="00F07831" w:rsidRDefault="001544DD">
      <w:pPr>
        <w:rPr>
          <w:b/>
          <w:bCs/>
          <w:sz w:val="2"/>
          <w:szCs w:val="2"/>
        </w:rPr>
      </w:pP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50"/>
        <w:gridCol w:w="1565"/>
        <w:gridCol w:w="990"/>
        <w:gridCol w:w="1354"/>
        <w:gridCol w:w="1348"/>
        <w:gridCol w:w="1205"/>
        <w:gridCol w:w="1617"/>
      </w:tblGrid>
      <w:tr w:rsidR="00F37F90" w:rsidRPr="00A90189" w14:paraId="1F81DBBF" w14:textId="77777777" w:rsidTr="001544D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6CA76A0C" w:rsidR="00F37F90" w:rsidRDefault="00F37F90"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0CD95350" w:rsidR="00F37F90" w:rsidRDefault="00CD7E54"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 2025</w:t>
            </w:r>
          </w:p>
        </w:tc>
        <w:tc>
          <w:tcPr>
            <w:tcW w:w="1980"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1544D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vs. </w:t>
            </w:r>
            <w:r w:rsidR="000C00A0">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c>
          <w:tcPr>
            <w:tcW w:w="640" w:type="pct"/>
            <w:shd w:val="clear" w:color="auto" w:fill="17365D" w:themeFill="text2" w:themeFillShade="BF"/>
          </w:tcPr>
          <w:p w14:paraId="3E21E46B" w14:textId="4374F2B0"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572" w:type="pct"/>
            <w:shd w:val="clear" w:color="auto" w:fill="17365D" w:themeFill="text2" w:themeFillShade="BF"/>
          </w:tcPr>
          <w:p w14:paraId="3544BA75" w14:textId="574FDBF9"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768" w:type="pct"/>
            <w:shd w:val="clear" w:color="auto" w:fill="17365D" w:themeFill="text2" w:themeFillShade="BF"/>
          </w:tcPr>
          <w:p w14:paraId="28B1EF53" w14:textId="472E675B"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w:t>
            </w:r>
            <w:r w:rsidR="00B813E6">
              <w:rPr>
                <w:rFonts w:ascii="Arial" w:hAnsi="Arial" w:cs="Arial"/>
                <w:color w:val="FFFFFF" w:themeColor="background1"/>
                <w:sz w:val="18"/>
                <w:szCs w:val="18"/>
              </w:rPr>
              <w:br/>
            </w:r>
            <w:r w:rsidRPr="009C0178">
              <w:rPr>
                <w:rFonts w:ascii="Arial" w:hAnsi="Arial" w:cs="Arial"/>
                <w:color w:val="FFFFFF" w:themeColor="background1"/>
                <w:sz w:val="18"/>
                <w:szCs w:val="18"/>
              </w:rPr>
              <w:t xml:space="preserve">vs. </w:t>
            </w:r>
            <w:r w:rsidR="005C5842">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r>
      <w:tr w:rsidR="003F7A86" w:rsidRPr="009C0178" w14:paraId="2D585FCB"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3F7A86" w:rsidRPr="009C0178" w:rsidRDefault="003F7A86" w:rsidP="003F7A86">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tcPr>
          <w:p w14:paraId="501AC3BC" w14:textId="0EC67341"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3F7A86">
              <w:rPr>
                <w:rFonts w:ascii="Arial" w:hAnsi="Arial" w:cs="Arial"/>
                <w:b/>
                <w:bCs/>
                <w:color w:val="000000"/>
                <w:sz w:val="18"/>
                <w:szCs w:val="18"/>
              </w:rPr>
              <w:t>$</w:t>
            </w:r>
            <w:r w:rsidR="00CD7E54">
              <w:rPr>
                <w:rFonts w:ascii="Arial" w:hAnsi="Arial" w:cs="Arial"/>
                <w:b/>
                <w:bCs/>
                <w:color w:val="000000"/>
                <w:sz w:val="18"/>
                <w:szCs w:val="18"/>
              </w:rPr>
              <w:t>9.78</w:t>
            </w:r>
          </w:p>
        </w:tc>
        <w:tc>
          <w:tcPr>
            <w:tcW w:w="470" w:type="pct"/>
            <w:shd w:val="clear" w:color="auto" w:fill="FFFFFF" w:themeFill="background1"/>
            <w:tcMar>
              <w:left w:w="115" w:type="dxa"/>
              <w:right w:w="115" w:type="dxa"/>
            </w:tcMar>
            <w:vAlign w:val="bottom"/>
          </w:tcPr>
          <w:p w14:paraId="2DD3D4D2" w14:textId="2B9AF59C" w:rsidR="003F7A86" w:rsidRPr="009C0178" w:rsidRDefault="00CD7E54"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+2.0</w:t>
            </w:r>
            <w:r w:rsidR="003F7A86"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60A135D3" w:rsidR="003F7A86" w:rsidRPr="009C0178" w:rsidRDefault="00CD7E54"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+1.2</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17051A7E" w14:textId="586F03EF"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8B7143">
              <w:rPr>
                <w:rFonts w:ascii="Arial" w:hAnsi="Arial" w:cs="Arial"/>
                <w:b/>
                <w:bCs/>
                <w:color w:val="000000"/>
                <w:sz w:val="18"/>
                <w:szCs w:val="18"/>
              </w:rPr>
              <w:t>9.6</w:t>
            </w:r>
            <w:r w:rsidR="00FC4C8F">
              <w:rPr>
                <w:rFonts w:ascii="Arial" w:hAnsi="Arial" w:cs="Arial"/>
                <w:b/>
                <w:bCs/>
                <w:color w:val="000000"/>
                <w:sz w:val="18"/>
                <w:szCs w:val="18"/>
              </w:rPr>
              <w:t>6</w:t>
            </w:r>
          </w:p>
        </w:tc>
        <w:tc>
          <w:tcPr>
            <w:tcW w:w="572" w:type="pct"/>
            <w:shd w:val="clear" w:color="auto" w:fill="FFFFFF" w:themeFill="background1"/>
            <w:vAlign w:val="bottom"/>
          </w:tcPr>
          <w:p w14:paraId="39D61EC7" w14:textId="5ECE1C42" w:rsidR="003F7A86" w:rsidRPr="009C0178" w:rsidRDefault="00CA3FBD"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C4C8F">
              <w:rPr>
                <w:rFonts w:ascii="Arial" w:hAnsi="Arial" w:cs="Arial"/>
                <w:b/>
                <w:bCs/>
                <w:color w:val="000000"/>
                <w:sz w:val="18"/>
                <w:szCs w:val="18"/>
              </w:rPr>
              <w:t>1.3</w:t>
            </w:r>
            <w:r w:rsidR="003F7A86" w:rsidRPr="009C0178">
              <w:rPr>
                <w:rFonts w:ascii="Arial" w:hAnsi="Arial" w:cs="Arial"/>
                <w:b/>
                <w:bCs/>
                <w:color w:val="000000"/>
                <w:sz w:val="18"/>
                <w:szCs w:val="18"/>
              </w:rPr>
              <w:t>%</w:t>
            </w:r>
          </w:p>
        </w:tc>
        <w:tc>
          <w:tcPr>
            <w:tcW w:w="768" w:type="pct"/>
            <w:shd w:val="clear" w:color="auto" w:fill="FFFFFF" w:themeFill="background1"/>
            <w:vAlign w:val="bottom"/>
          </w:tcPr>
          <w:p w14:paraId="66678B50" w14:textId="2CFFAD82" w:rsidR="003F7A86" w:rsidRPr="009C0178" w:rsidRDefault="00046AD4"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C4C8F">
              <w:rPr>
                <w:rFonts w:ascii="Arial" w:hAnsi="Arial" w:cs="Arial"/>
                <w:b/>
                <w:bCs/>
                <w:color w:val="000000"/>
                <w:sz w:val="18"/>
                <w:szCs w:val="18"/>
              </w:rPr>
              <w:t>0.7</w:t>
            </w:r>
            <w:r w:rsidR="003F7A86" w:rsidRPr="009C0178">
              <w:rPr>
                <w:rFonts w:ascii="Arial" w:hAnsi="Arial" w:cs="Arial"/>
                <w:b/>
                <w:bCs/>
                <w:color w:val="000000"/>
                <w:sz w:val="18"/>
                <w:szCs w:val="18"/>
              </w:rPr>
              <w:t>%</w:t>
            </w:r>
          </w:p>
        </w:tc>
      </w:tr>
      <w:tr w:rsidR="003F7A86" w:rsidRPr="001C710E" w14:paraId="3DD603CC" w14:textId="77777777" w:rsidTr="001544D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3F7A86" w:rsidRPr="009C0178" w:rsidRDefault="003F7A86" w:rsidP="003F7A8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tcPr>
          <w:p w14:paraId="1E4323D1" w14:textId="59B3B796"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A45281">
              <w:rPr>
                <w:rFonts w:ascii="Arial" w:hAnsi="Arial" w:cs="Arial"/>
                <w:bCs/>
                <w:color w:val="000000"/>
                <w:sz w:val="18"/>
                <w:szCs w:val="18"/>
              </w:rPr>
              <w:t>$</w:t>
            </w:r>
            <w:r w:rsidR="000A3117">
              <w:rPr>
                <w:rFonts w:ascii="Arial" w:hAnsi="Arial" w:cs="Arial"/>
                <w:bCs/>
                <w:color w:val="000000"/>
                <w:sz w:val="18"/>
                <w:szCs w:val="18"/>
              </w:rPr>
              <w:t>1</w:t>
            </w:r>
            <w:r w:rsidR="00CD7E54">
              <w:rPr>
                <w:rFonts w:ascii="Arial" w:hAnsi="Arial" w:cs="Arial"/>
                <w:bCs/>
                <w:color w:val="000000"/>
                <w:sz w:val="18"/>
                <w:szCs w:val="18"/>
              </w:rPr>
              <w:t>0.47</w:t>
            </w:r>
          </w:p>
        </w:tc>
        <w:tc>
          <w:tcPr>
            <w:tcW w:w="470" w:type="pct"/>
            <w:shd w:val="clear" w:color="auto" w:fill="D9D9D9" w:themeFill="background1" w:themeFillShade="D9"/>
            <w:tcMar>
              <w:left w:w="115" w:type="dxa"/>
              <w:right w:w="115" w:type="dxa"/>
            </w:tcMar>
            <w:vAlign w:val="bottom"/>
          </w:tcPr>
          <w:p w14:paraId="10C1BBE1" w14:textId="6610D2C8" w:rsidR="003F7A86" w:rsidRPr="00F553C1" w:rsidRDefault="000A3117"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CD7E54">
              <w:rPr>
                <w:rFonts w:ascii="Arial" w:hAnsi="Arial" w:cs="Arial"/>
                <w:bCs/>
                <w:color w:val="000000"/>
                <w:sz w:val="18"/>
                <w:szCs w:val="18"/>
              </w:rPr>
              <w:t>1.5</w:t>
            </w:r>
            <w:r w:rsidR="003F7A86" w:rsidRPr="00F553C1">
              <w:rPr>
                <w:rFonts w:ascii="Arial" w:hAnsi="Arial" w:cs="Arial"/>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73EF9969" w:rsidR="003F7A86" w:rsidRPr="00F553C1" w:rsidRDefault="000A3117"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CD7E54">
              <w:rPr>
                <w:rFonts w:ascii="Arial" w:hAnsi="Arial" w:cs="Arial"/>
                <w:bCs/>
                <w:color w:val="000000"/>
                <w:sz w:val="18"/>
                <w:szCs w:val="18"/>
              </w:rPr>
              <w:t>2.3</w:t>
            </w:r>
            <w:r w:rsidR="003F7A86" w:rsidRPr="00F553C1">
              <w:rPr>
                <w:rFonts w:ascii="Arial" w:hAnsi="Arial" w:cs="Arial"/>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15F59F83" w14:textId="2A9259A3"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sidR="00CA3FBD">
              <w:rPr>
                <w:rFonts w:ascii="Arial" w:hAnsi="Arial" w:cs="Arial"/>
                <w:bCs/>
                <w:color w:val="000000"/>
                <w:sz w:val="18"/>
                <w:szCs w:val="18"/>
              </w:rPr>
              <w:t>10.</w:t>
            </w:r>
            <w:r w:rsidR="00FC4C8F">
              <w:rPr>
                <w:rFonts w:ascii="Arial" w:hAnsi="Arial" w:cs="Arial"/>
                <w:bCs/>
                <w:color w:val="000000"/>
                <w:sz w:val="18"/>
                <w:szCs w:val="18"/>
              </w:rPr>
              <w:t>39</w:t>
            </w:r>
          </w:p>
        </w:tc>
        <w:tc>
          <w:tcPr>
            <w:tcW w:w="572" w:type="pct"/>
            <w:shd w:val="clear" w:color="auto" w:fill="D9D9D9" w:themeFill="background1" w:themeFillShade="D9"/>
          </w:tcPr>
          <w:p w14:paraId="0AF53059" w14:textId="09096084"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5C5842">
              <w:rPr>
                <w:rFonts w:ascii="Arial" w:hAnsi="Arial" w:cs="Arial"/>
                <w:bCs/>
                <w:color w:val="000000"/>
                <w:sz w:val="18"/>
                <w:szCs w:val="18"/>
              </w:rPr>
              <w:t>0.</w:t>
            </w:r>
            <w:r w:rsidR="001255CA">
              <w:rPr>
                <w:rFonts w:ascii="Arial" w:hAnsi="Arial" w:cs="Arial"/>
                <w:bCs/>
                <w:color w:val="000000"/>
                <w:sz w:val="18"/>
                <w:szCs w:val="18"/>
              </w:rPr>
              <w:t>4</w:t>
            </w:r>
            <w:r w:rsidRPr="00F553C1">
              <w:rPr>
                <w:rFonts w:ascii="Arial" w:hAnsi="Arial" w:cs="Arial"/>
                <w:bCs/>
                <w:color w:val="000000"/>
                <w:sz w:val="18"/>
                <w:szCs w:val="18"/>
              </w:rPr>
              <w:t>%</w:t>
            </w:r>
          </w:p>
        </w:tc>
        <w:tc>
          <w:tcPr>
            <w:tcW w:w="768" w:type="pct"/>
            <w:shd w:val="clear" w:color="auto" w:fill="D9D9D9" w:themeFill="background1" w:themeFillShade="D9"/>
            <w:vAlign w:val="bottom"/>
          </w:tcPr>
          <w:p w14:paraId="7B4C6BF1" w14:textId="42F99EB7" w:rsidR="003F7A86" w:rsidRPr="00F553C1" w:rsidRDefault="001255CA"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FC4C8F">
              <w:rPr>
                <w:rFonts w:ascii="Arial" w:hAnsi="Arial" w:cs="Arial"/>
                <w:bCs/>
                <w:color w:val="000000"/>
                <w:sz w:val="18"/>
                <w:szCs w:val="18"/>
              </w:rPr>
              <w:t>2.5</w:t>
            </w:r>
            <w:r w:rsidR="003F7A86" w:rsidRPr="00F553C1">
              <w:rPr>
                <w:rFonts w:ascii="Arial" w:hAnsi="Arial" w:cs="Arial"/>
                <w:bCs/>
                <w:color w:val="000000"/>
                <w:sz w:val="18"/>
                <w:szCs w:val="18"/>
              </w:rPr>
              <w:t>%</w:t>
            </w:r>
          </w:p>
        </w:tc>
      </w:tr>
      <w:tr w:rsidR="003F7A86" w:rsidRPr="001C710E" w14:paraId="5A269FB9"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3F7A86" w:rsidRPr="009C0178" w:rsidRDefault="003F7A86" w:rsidP="003F7A8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tcPr>
          <w:p w14:paraId="354F3F01" w14:textId="610EB43A"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45281">
              <w:rPr>
                <w:rFonts w:ascii="Arial" w:hAnsi="Arial" w:cs="Arial"/>
                <w:bCs/>
                <w:color w:val="000000"/>
                <w:sz w:val="18"/>
                <w:szCs w:val="18"/>
              </w:rPr>
              <w:t>$</w:t>
            </w:r>
            <w:r w:rsidR="00CD7E54">
              <w:rPr>
                <w:rFonts w:ascii="Arial" w:hAnsi="Arial" w:cs="Arial"/>
                <w:bCs/>
                <w:color w:val="000000"/>
                <w:sz w:val="18"/>
                <w:szCs w:val="18"/>
              </w:rPr>
              <w:t>8.80</w:t>
            </w:r>
          </w:p>
        </w:tc>
        <w:tc>
          <w:tcPr>
            <w:tcW w:w="470" w:type="pct"/>
            <w:tcMar>
              <w:left w:w="115" w:type="dxa"/>
              <w:right w:w="115" w:type="dxa"/>
            </w:tcMar>
            <w:vAlign w:val="bottom"/>
          </w:tcPr>
          <w:p w14:paraId="3C30D052" w14:textId="2E008F7D"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CD7E54">
              <w:rPr>
                <w:rFonts w:ascii="Arial" w:hAnsi="Arial" w:cs="Arial"/>
                <w:bCs/>
                <w:color w:val="000000"/>
                <w:sz w:val="18"/>
                <w:szCs w:val="18"/>
              </w:rPr>
              <w:t>6.9</w:t>
            </w:r>
            <w:r w:rsidRPr="00F553C1">
              <w:rPr>
                <w:rFonts w:ascii="Arial" w:hAnsi="Arial" w:cs="Arial"/>
                <w:bCs/>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001C7BCB" w:rsidR="003F7A86" w:rsidRPr="00F553C1"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CD7E54">
              <w:rPr>
                <w:rFonts w:ascii="Arial" w:hAnsi="Arial" w:cs="Arial"/>
                <w:bCs/>
                <w:color w:val="000000"/>
                <w:sz w:val="18"/>
                <w:szCs w:val="18"/>
              </w:rPr>
              <w:t>4.4</w:t>
            </w:r>
            <w:r w:rsidR="003F7A86" w:rsidRPr="00F553C1">
              <w:rPr>
                <w:rFonts w:ascii="Arial" w:hAnsi="Arial" w:cs="Arial"/>
                <w:bCs/>
                <w:color w:val="000000"/>
                <w:sz w:val="18"/>
                <w:szCs w:val="18"/>
              </w:rPr>
              <w:t>%</w:t>
            </w:r>
          </w:p>
        </w:tc>
        <w:tc>
          <w:tcPr>
            <w:tcW w:w="640" w:type="pct"/>
            <w:tcBorders>
              <w:left w:val="single" w:sz="4" w:space="0" w:color="31849B" w:themeColor="accent5" w:themeShade="BF"/>
            </w:tcBorders>
          </w:tcPr>
          <w:p w14:paraId="2A701842" w14:textId="213F73B6"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sidR="00CA3FBD">
              <w:rPr>
                <w:rFonts w:ascii="Arial" w:hAnsi="Arial" w:cs="Arial"/>
                <w:bCs/>
                <w:color w:val="000000"/>
                <w:sz w:val="18"/>
                <w:szCs w:val="18"/>
              </w:rPr>
              <w:t>8.</w:t>
            </w:r>
            <w:r w:rsidR="00FC4C8F">
              <w:rPr>
                <w:rFonts w:ascii="Arial" w:hAnsi="Arial" w:cs="Arial"/>
                <w:bCs/>
                <w:color w:val="000000"/>
                <w:sz w:val="18"/>
                <w:szCs w:val="18"/>
              </w:rPr>
              <w:t>62</w:t>
            </w:r>
          </w:p>
        </w:tc>
        <w:tc>
          <w:tcPr>
            <w:tcW w:w="572" w:type="pct"/>
          </w:tcPr>
          <w:p w14:paraId="295F5885" w14:textId="3FEE3E10" w:rsidR="003F7A86" w:rsidRPr="00F553C1" w:rsidRDefault="00CA3FBD"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FC4C8F">
              <w:rPr>
                <w:rFonts w:ascii="Arial" w:hAnsi="Arial" w:cs="Arial"/>
                <w:bCs/>
                <w:color w:val="000000"/>
                <w:sz w:val="18"/>
                <w:szCs w:val="18"/>
              </w:rPr>
              <w:t>3.2</w:t>
            </w:r>
            <w:r w:rsidR="003F7A86" w:rsidRPr="00F553C1">
              <w:rPr>
                <w:rFonts w:ascii="Arial" w:hAnsi="Arial" w:cs="Arial"/>
                <w:bCs/>
                <w:color w:val="000000"/>
                <w:sz w:val="18"/>
                <w:szCs w:val="18"/>
              </w:rPr>
              <w:t>%</w:t>
            </w:r>
          </w:p>
        </w:tc>
        <w:tc>
          <w:tcPr>
            <w:tcW w:w="768" w:type="pct"/>
            <w:vAlign w:val="bottom"/>
          </w:tcPr>
          <w:p w14:paraId="49D3B72A" w14:textId="398DE5FE"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FC4C8F">
              <w:rPr>
                <w:rFonts w:ascii="Arial" w:hAnsi="Arial" w:cs="Arial"/>
                <w:bCs/>
                <w:color w:val="000000"/>
                <w:sz w:val="18"/>
                <w:szCs w:val="18"/>
              </w:rPr>
              <w:t>3.0</w:t>
            </w:r>
            <w:r w:rsidRPr="00F553C1">
              <w:rPr>
                <w:rFonts w:ascii="Arial" w:hAnsi="Arial" w:cs="Arial"/>
                <w:bCs/>
                <w:color w:val="000000"/>
                <w:sz w:val="18"/>
                <w:szCs w:val="18"/>
              </w:rPr>
              <w:t>%</w:t>
            </w:r>
          </w:p>
        </w:tc>
      </w:tr>
      <w:tr w:rsidR="003F7A86" w:rsidRPr="009C0178" w14:paraId="6D4B0F28" w14:textId="77777777" w:rsidTr="001544D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3F7A86" w:rsidRPr="00D5653C" w:rsidRDefault="003F7A86" w:rsidP="003F7A86">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tcPr>
          <w:p w14:paraId="6AA1A40C" w14:textId="0DEB1B8B" w:rsidR="003F7A86" w:rsidRPr="003F7A86" w:rsidRDefault="00CD7E54"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$7.56</w:t>
            </w:r>
          </w:p>
        </w:tc>
        <w:tc>
          <w:tcPr>
            <w:tcW w:w="470" w:type="pct"/>
            <w:shd w:val="clear" w:color="auto" w:fill="D9D9D9" w:themeFill="background1" w:themeFillShade="D9"/>
            <w:tcMar>
              <w:left w:w="115" w:type="dxa"/>
              <w:right w:w="115" w:type="dxa"/>
            </w:tcMar>
            <w:vAlign w:val="bottom"/>
          </w:tcPr>
          <w:p w14:paraId="561F5313" w14:textId="434E8A93" w:rsidR="003F7A86" w:rsidRPr="009C0178" w:rsidRDefault="00CD7E54"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+3.3</w:t>
            </w:r>
            <w:r w:rsidR="003F7A86"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29AFA18A" w:rsidR="003F7A86" w:rsidRPr="009C0178"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CD7E54">
              <w:rPr>
                <w:rFonts w:ascii="Arial" w:hAnsi="Arial" w:cs="Arial"/>
                <w:b/>
                <w:bCs/>
                <w:color w:val="000000"/>
                <w:sz w:val="18"/>
                <w:szCs w:val="18"/>
              </w:rPr>
              <w:t>0.7</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70AF399D" w14:textId="34645C88" w:rsidR="003F7A86" w:rsidRPr="003F7A86"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1255CA">
              <w:rPr>
                <w:rFonts w:ascii="Arial" w:hAnsi="Arial" w:cs="Arial"/>
                <w:b/>
                <w:bCs/>
                <w:color w:val="000000"/>
                <w:sz w:val="18"/>
                <w:szCs w:val="18"/>
              </w:rPr>
              <w:t>7.</w:t>
            </w:r>
            <w:r w:rsidR="00FC4C8F">
              <w:rPr>
                <w:rFonts w:ascii="Arial" w:hAnsi="Arial" w:cs="Arial"/>
                <w:b/>
                <w:bCs/>
                <w:color w:val="000000"/>
                <w:sz w:val="18"/>
                <w:szCs w:val="18"/>
              </w:rPr>
              <w:t>41</w:t>
            </w:r>
          </w:p>
        </w:tc>
        <w:tc>
          <w:tcPr>
            <w:tcW w:w="572" w:type="pct"/>
            <w:shd w:val="clear" w:color="auto" w:fill="D9D9D9" w:themeFill="background1" w:themeFillShade="D9"/>
          </w:tcPr>
          <w:p w14:paraId="0D4239EB" w14:textId="0A3A8693" w:rsidR="003F7A86" w:rsidRPr="009C0178" w:rsidRDefault="00FC4C8F"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+1.1</w:t>
            </w:r>
            <w:r w:rsidR="003F7A86" w:rsidRPr="001D7072">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3F1BD72E" w:rsidR="003F7A86" w:rsidRPr="009C0178"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C4C8F">
              <w:rPr>
                <w:rFonts w:ascii="Arial" w:hAnsi="Arial" w:cs="Arial"/>
                <w:b/>
                <w:bCs/>
                <w:color w:val="000000"/>
                <w:sz w:val="18"/>
                <w:szCs w:val="18"/>
              </w:rPr>
              <w:t>5.1</w:t>
            </w:r>
            <w:r w:rsidRPr="009C0178">
              <w:rPr>
                <w:rFonts w:ascii="Arial" w:hAnsi="Arial" w:cs="Arial"/>
                <w:b/>
                <w:bCs/>
                <w:color w:val="000000"/>
                <w:sz w:val="18"/>
                <w:szCs w:val="18"/>
              </w:rPr>
              <w:t>%</w:t>
            </w:r>
          </w:p>
        </w:tc>
      </w:tr>
      <w:tr w:rsidR="003F7A86" w:rsidRPr="009C0178" w14:paraId="0A8B314F"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3F7A86" w:rsidRPr="000A3117" w:rsidRDefault="003F7A86" w:rsidP="003F7A86">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tcPr>
          <w:p w14:paraId="4F268D8A" w14:textId="3E95D5AD"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CD7E54">
              <w:rPr>
                <w:rFonts w:ascii="Arial" w:hAnsi="Arial" w:cs="Arial"/>
                <w:b/>
                <w:bCs/>
                <w:color w:val="000000"/>
                <w:sz w:val="18"/>
                <w:szCs w:val="18"/>
              </w:rPr>
              <w:t>5.13</w:t>
            </w:r>
          </w:p>
        </w:tc>
        <w:tc>
          <w:tcPr>
            <w:tcW w:w="470" w:type="pct"/>
            <w:shd w:val="clear" w:color="auto" w:fill="FFFFFF" w:themeFill="background1"/>
            <w:tcMar>
              <w:left w:w="115" w:type="dxa"/>
              <w:right w:w="115" w:type="dxa"/>
            </w:tcMar>
            <w:vAlign w:val="bottom"/>
          </w:tcPr>
          <w:p w14:paraId="1510CC5D" w14:textId="3F886BAB"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CD7E54">
              <w:rPr>
                <w:rFonts w:ascii="Arial" w:hAnsi="Arial" w:cs="Arial"/>
                <w:b/>
                <w:bCs/>
                <w:color w:val="000000"/>
                <w:sz w:val="18"/>
                <w:szCs w:val="18"/>
              </w:rPr>
              <w:t>0.8</w:t>
            </w:r>
            <w:r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6DDB8B9F" w:rsidR="003F7A86" w:rsidRPr="009C0178" w:rsidRDefault="006D6580"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CD7E54">
              <w:rPr>
                <w:rFonts w:ascii="Arial" w:hAnsi="Arial" w:cs="Arial"/>
                <w:b/>
                <w:bCs/>
                <w:color w:val="000000"/>
                <w:sz w:val="18"/>
                <w:szCs w:val="18"/>
              </w:rPr>
              <w:t>3.2</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0F09C4C3" w14:textId="290D1F45"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CA3FBD">
              <w:rPr>
                <w:rFonts w:ascii="Arial" w:hAnsi="Arial" w:cs="Arial"/>
                <w:b/>
                <w:bCs/>
                <w:color w:val="000000"/>
                <w:sz w:val="18"/>
                <w:szCs w:val="18"/>
              </w:rPr>
              <w:t>5.0</w:t>
            </w:r>
            <w:r w:rsidR="001255CA">
              <w:rPr>
                <w:rFonts w:ascii="Arial" w:hAnsi="Arial" w:cs="Arial"/>
                <w:b/>
                <w:bCs/>
                <w:color w:val="000000"/>
                <w:sz w:val="18"/>
                <w:szCs w:val="18"/>
              </w:rPr>
              <w:t>5</w:t>
            </w:r>
          </w:p>
        </w:tc>
        <w:tc>
          <w:tcPr>
            <w:tcW w:w="572" w:type="pct"/>
            <w:shd w:val="clear" w:color="auto" w:fill="FFFFFF" w:themeFill="background1"/>
          </w:tcPr>
          <w:p w14:paraId="04CE274A" w14:textId="60138AAE"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D7072">
              <w:rPr>
                <w:rFonts w:ascii="Arial" w:hAnsi="Arial" w:cs="Arial"/>
                <w:b/>
                <w:bCs/>
                <w:color w:val="000000"/>
                <w:sz w:val="18"/>
                <w:szCs w:val="18"/>
              </w:rPr>
              <w:t>-</w:t>
            </w:r>
            <w:r w:rsidR="005C5842">
              <w:rPr>
                <w:rFonts w:ascii="Arial" w:hAnsi="Arial" w:cs="Arial"/>
                <w:b/>
                <w:bCs/>
                <w:color w:val="000000"/>
                <w:sz w:val="18"/>
                <w:szCs w:val="18"/>
              </w:rPr>
              <w:t>3.</w:t>
            </w:r>
            <w:r w:rsidR="00FC4C8F">
              <w:rPr>
                <w:rFonts w:ascii="Arial" w:hAnsi="Arial" w:cs="Arial"/>
                <w:b/>
                <w:bCs/>
                <w:color w:val="000000"/>
                <w:sz w:val="18"/>
                <w:szCs w:val="18"/>
              </w:rPr>
              <w:t>5</w:t>
            </w:r>
            <w:r w:rsidRPr="001D7072">
              <w:rPr>
                <w:rFonts w:ascii="Arial" w:hAnsi="Arial" w:cs="Arial"/>
                <w:b/>
                <w:bCs/>
                <w:color w:val="000000"/>
                <w:sz w:val="18"/>
                <w:szCs w:val="18"/>
              </w:rPr>
              <w:t>%</w:t>
            </w:r>
          </w:p>
        </w:tc>
        <w:tc>
          <w:tcPr>
            <w:tcW w:w="768" w:type="pct"/>
            <w:shd w:val="clear" w:color="auto" w:fill="FFFFFF" w:themeFill="background1"/>
            <w:vAlign w:val="bottom"/>
          </w:tcPr>
          <w:p w14:paraId="73C5E911" w14:textId="134DD4A9" w:rsidR="003F7A86" w:rsidRPr="009C0178" w:rsidRDefault="006D6580"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C4C8F">
              <w:rPr>
                <w:rFonts w:ascii="Arial" w:hAnsi="Arial" w:cs="Arial"/>
                <w:b/>
                <w:bCs/>
                <w:color w:val="000000"/>
                <w:sz w:val="18"/>
                <w:szCs w:val="18"/>
              </w:rPr>
              <w:t>2.5</w:t>
            </w:r>
            <w:r w:rsidR="003F7A86" w:rsidRPr="009C0178">
              <w:rPr>
                <w:rFonts w:ascii="Arial" w:hAnsi="Arial" w:cs="Arial"/>
                <w:b/>
                <w:bCs/>
                <w:color w:val="000000"/>
                <w:sz w:val="18"/>
                <w:szCs w:val="18"/>
              </w:rPr>
              <w:t>%</w:t>
            </w:r>
          </w:p>
        </w:tc>
      </w:tr>
    </w:tbl>
    <w:p w14:paraId="1CE7C41C" w14:textId="4D004179" w:rsidR="00F97C2B" w:rsidRPr="00F97C2B" w:rsidRDefault="00F97C2B" w:rsidP="00544D35">
      <w:pPr>
        <w:pStyle w:val="NoSpacing"/>
        <w:rPr>
          <w:rFonts w:ascii="Arial" w:hAnsi="Arial" w:cs="Arial"/>
          <w:color w:val="7F7F7F" w:themeColor="text1" w:themeTint="80"/>
          <w:sz w:val="6"/>
          <w:szCs w:val="6"/>
        </w:rPr>
      </w:pPr>
    </w:p>
    <w:p w14:paraId="297542C8" w14:textId="53F836A0" w:rsidR="00544D35" w:rsidRPr="002327AA" w:rsidRDefault="00544D35" w:rsidP="00544D35">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proofErr w:type="spellStart"/>
      <w:r w:rsidR="007A44BE" w:rsidRPr="002327AA">
        <w:rPr>
          <w:rFonts w:ascii="Arial" w:hAnsi="Arial" w:cs="Arial"/>
          <w:color w:val="7F7F7F" w:themeColor="text1" w:themeTint="80"/>
          <w:sz w:val="16"/>
          <w:szCs w:val="16"/>
        </w:rPr>
        <w:t>Circana</w:t>
      </w:r>
      <w:proofErr w:type="spellEnd"/>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39A188BF" w14:textId="69A363F0" w:rsidR="00A94364" w:rsidRPr="00FA6FAE" w:rsidRDefault="00A94364" w:rsidP="00544D35">
      <w:pPr>
        <w:pStyle w:val="NoSpacing"/>
        <w:rPr>
          <w:rFonts w:ascii="Arial" w:hAnsi="Arial" w:cs="Arial"/>
          <w:sz w:val="4"/>
          <w:szCs w:val="4"/>
        </w:rPr>
      </w:pPr>
    </w:p>
    <w:p w14:paraId="44C0F1C8" w14:textId="588B2407" w:rsidR="00FC4C8F" w:rsidRDefault="00FC4C8F">
      <w:pPr>
        <w:rPr>
          <w:rFonts w:ascii="Arial" w:hAnsi="Arial" w:cs="Arial"/>
          <w:sz w:val="20"/>
          <w:szCs w:val="20"/>
        </w:rPr>
      </w:pPr>
      <w:r>
        <w:rPr>
          <w:rFonts w:ascii="Arial" w:hAnsi="Arial" w:cs="Arial"/>
          <w:sz w:val="20"/>
          <w:szCs w:val="20"/>
        </w:rPr>
        <w:br w:type="page"/>
      </w: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987432">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17365D" w:themeFill="text2" w:themeFillShade="BF"/>
          </w:tcPr>
          <w:p w14:paraId="2E58E219" w14:textId="77777777" w:rsidR="001255CA" w:rsidRDefault="001255CA" w:rsidP="00987432">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11C9AA54" w:rsidR="001255CA" w:rsidRPr="00DA3DDE" w:rsidRDefault="00CD7E54" w:rsidP="00987432">
            <w:pPr>
              <w:pStyle w:val="NoSpacing"/>
              <w:rPr>
                <w:rFonts w:ascii="Arial" w:hAnsi="Arial" w:cs="Arial"/>
                <w:color w:val="FFFFFF" w:themeColor="background1"/>
                <w:sz w:val="18"/>
                <w:szCs w:val="18"/>
              </w:rPr>
            </w:pPr>
            <w:r>
              <w:rPr>
                <w:rFonts w:ascii="Arial" w:hAnsi="Arial" w:cs="Arial"/>
                <w:color w:val="FFFFFF" w:themeColor="background1"/>
                <w:sz w:val="18"/>
                <w:szCs w:val="18"/>
              </w:rPr>
              <w:t>June 2025</w:t>
            </w:r>
          </w:p>
        </w:tc>
        <w:tc>
          <w:tcPr>
            <w:tcW w:w="1177" w:type="pct"/>
            <w:shd w:val="clear" w:color="auto" w:fill="17365D" w:themeFill="text2" w:themeFillShade="BF"/>
            <w:tcMar>
              <w:left w:w="115" w:type="dxa"/>
              <w:right w:w="115" w:type="dxa"/>
            </w:tcMar>
          </w:tcPr>
          <w:p w14:paraId="031DEAF1"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shd w:val="clear" w:color="auto" w:fill="17365D" w:themeFill="text2" w:themeFillShade="BF"/>
            <w:tcMar>
              <w:left w:w="115" w:type="dxa"/>
              <w:right w:w="115" w:type="dxa"/>
            </w:tcMar>
          </w:tcPr>
          <w:p w14:paraId="2DCAD80C"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shd w:val="clear" w:color="auto" w:fill="17365D" w:themeFill="text2" w:themeFillShade="BF"/>
            <w:tcMar>
              <w:left w:w="115" w:type="dxa"/>
              <w:right w:w="115" w:type="dxa"/>
            </w:tcMar>
          </w:tcPr>
          <w:p w14:paraId="59CF1C8D"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1255CA" w:rsidRPr="001A7423" w14:paraId="5387C483"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77777777" w:rsidR="001255CA" w:rsidRPr="001C710E" w:rsidRDefault="001255CA" w:rsidP="00987432">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516E3E2F"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84673E">
              <w:rPr>
                <w:rFonts w:ascii="Arial" w:hAnsi="Arial" w:cs="Arial"/>
                <w:bCs/>
                <w:color w:val="000000"/>
                <w:sz w:val="18"/>
                <w:szCs w:val="18"/>
              </w:rPr>
              <w:t>11.63</w:t>
            </w:r>
          </w:p>
        </w:tc>
        <w:tc>
          <w:tcPr>
            <w:tcW w:w="814" w:type="pct"/>
            <w:shd w:val="clear" w:color="auto" w:fill="FFFFFF" w:themeFill="background1"/>
            <w:tcMar>
              <w:left w:w="115" w:type="dxa"/>
              <w:right w:w="115" w:type="dxa"/>
            </w:tcMar>
            <w:vAlign w:val="bottom"/>
          </w:tcPr>
          <w:p w14:paraId="5229E735" w14:textId="76630662" w:rsidR="001255CA" w:rsidRPr="001A7423" w:rsidRDefault="006416E7"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84673E">
              <w:rPr>
                <w:rFonts w:ascii="Arial" w:hAnsi="Arial" w:cs="Arial"/>
                <w:bCs/>
                <w:color w:val="000000"/>
                <w:sz w:val="18"/>
                <w:szCs w:val="18"/>
              </w:rPr>
              <w:t>0.1</w:t>
            </w:r>
            <w:r w:rsidR="00B258F8">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2C97B858" w14:textId="15BE2041" w:rsidR="001255CA" w:rsidRPr="001A7423" w:rsidRDefault="0084673E"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-0.4</w:t>
            </w:r>
            <w:r w:rsidR="001255CA" w:rsidRPr="001A7423">
              <w:rPr>
                <w:rFonts w:ascii="Arial" w:hAnsi="Arial" w:cs="Arial"/>
                <w:bCs/>
                <w:color w:val="000000"/>
                <w:sz w:val="18"/>
                <w:szCs w:val="18"/>
              </w:rPr>
              <w:t>%</w:t>
            </w:r>
          </w:p>
        </w:tc>
      </w:tr>
      <w:tr w:rsidR="006416E7" w:rsidRPr="001A7423" w14:paraId="717DD538" w14:textId="77777777" w:rsidTr="00987432">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crab</w:t>
            </w:r>
          </w:p>
        </w:tc>
        <w:tc>
          <w:tcPr>
            <w:tcW w:w="1177" w:type="pct"/>
            <w:shd w:val="clear" w:color="auto" w:fill="D9D9D9" w:themeFill="background1" w:themeFillShade="D9"/>
            <w:tcMar>
              <w:left w:w="115" w:type="dxa"/>
              <w:right w:w="115" w:type="dxa"/>
            </w:tcMar>
          </w:tcPr>
          <w:p w14:paraId="541FF027" w14:textId="26E106A8"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Pr>
                <w:rFonts w:ascii="Arial" w:hAnsi="Arial" w:cs="Arial"/>
                <w:bCs/>
                <w:color w:val="000000"/>
                <w:sz w:val="18"/>
                <w:szCs w:val="18"/>
              </w:rPr>
              <w:t>9.44</w:t>
            </w:r>
          </w:p>
        </w:tc>
        <w:tc>
          <w:tcPr>
            <w:tcW w:w="814" w:type="pct"/>
            <w:shd w:val="clear" w:color="auto" w:fill="D9D9D9" w:themeFill="background1" w:themeFillShade="D9"/>
            <w:tcMar>
              <w:left w:w="115" w:type="dxa"/>
              <w:right w:w="115" w:type="dxa"/>
            </w:tcMar>
            <w:vAlign w:val="bottom"/>
          </w:tcPr>
          <w:p w14:paraId="684CDD5C" w14:textId="7A8F9907"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84673E">
              <w:rPr>
                <w:rFonts w:ascii="Arial" w:hAnsi="Arial" w:cs="Arial"/>
                <w:bCs/>
                <w:color w:val="000000"/>
                <w:sz w:val="18"/>
                <w:szCs w:val="18"/>
              </w:rPr>
              <w:t>11.4</w:t>
            </w:r>
            <w:r>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67D5006A" w14:textId="28C0F1FB" w:rsidR="006416E7" w:rsidRPr="001A7423" w:rsidRDefault="0084673E"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+6.9</w:t>
            </w:r>
            <w:r w:rsidR="006416E7" w:rsidRPr="001A7423">
              <w:rPr>
                <w:rFonts w:ascii="Arial" w:hAnsi="Arial" w:cs="Arial"/>
                <w:bCs/>
                <w:color w:val="000000"/>
                <w:sz w:val="18"/>
                <w:szCs w:val="18"/>
              </w:rPr>
              <w:t>%</w:t>
            </w:r>
          </w:p>
        </w:tc>
      </w:tr>
      <w:tr w:rsidR="006416E7" w:rsidRPr="001A7423" w14:paraId="4DCA14D1"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shrimp</w:t>
            </w:r>
          </w:p>
        </w:tc>
        <w:tc>
          <w:tcPr>
            <w:tcW w:w="1177" w:type="pct"/>
            <w:shd w:val="clear" w:color="auto" w:fill="auto"/>
            <w:tcMar>
              <w:left w:w="115" w:type="dxa"/>
              <w:right w:w="115" w:type="dxa"/>
            </w:tcMar>
          </w:tcPr>
          <w:p w14:paraId="0C53779B" w14:textId="72A7F65A" w:rsidR="006416E7" w:rsidRPr="001A7423" w:rsidRDefault="006416E7" w:rsidP="006416E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84673E">
              <w:rPr>
                <w:rFonts w:ascii="Arial" w:hAnsi="Arial" w:cs="Arial"/>
                <w:bCs/>
                <w:color w:val="000000"/>
                <w:sz w:val="18"/>
                <w:szCs w:val="18"/>
              </w:rPr>
              <w:t>8.66</w:t>
            </w:r>
          </w:p>
        </w:tc>
        <w:tc>
          <w:tcPr>
            <w:tcW w:w="814" w:type="pct"/>
            <w:shd w:val="clear" w:color="auto" w:fill="auto"/>
            <w:tcMar>
              <w:left w:w="115" w:type="dxa"/>
              <w:right w:w="115" w:type="dxa"/>
            </w:tcMar>
            <w:vAlign w:val="bottom"/>
          </w:tcPr>
          <w:p w14:paraId="79203465" w14:textId="00F94A2F" w:rsidR="006416E7" w:rsidRPr="001A7423" w:rsidRDefault="006416E7" w:rsidP="006416E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84673E">
              <w:rPr>
                <w:rFonts w:ascii="Arial" w:hAnsi="Arial" w:cs="Arial"/>
                <w:bCs/>
                <w:color w:val="000000"/>
                <w:sz w:val="18"/>
                <w:szCs w:val="18"/>
              </w:rPr>
              <w:t>2.5</w:t>
            </w:r>
            <w:r>
              <w:rPr>
                <w:rFonts w:ascii="Arial" w:hAnsi="Arial" w:cs="Arial"/>
                <w:bCs/>
                <w:color w:val="000000"/>
                <w:sz w:val="18"/>
                <w:szCs w:val="18"/>
              </w:rPr>
              <w:t>%</w:t>
            </w:r>
          </w:p>
        </w:tc>
        <w:tc>
          <w:tcPr>
            <w:tcW w:w="880" w:type="pct"/>
            <w:shd w:val="clear" w:color="auto" w:fill="auto"/>
            <w:tcMar>
              <w:left w:w="115" w:type="dxa"/>
              <w:right w:w="115" w:type="dxa"/>
            </w:tcMar>
            <w:vAlign w:val="bottom"/>
          </w:tcPr>
          <w:p w14:paraId="638704A5" w14:textId="1B8875C0" w:rsidR="006416E7" w:rsidRPr="001A7423" w:rsidRDefault="0084673E" w:rsidP="006416E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-3.2</w:t>
            </w:r>
            <w:r w:rsidR="006416E7" w:rsidRPr="001A7423">
              <w:rPr>
                <w:rFonts w:ascii="Arial" w:hAnsi="Arial" w:cs="Arial"/>
                <w:bCs/>
                <w:color w:val="000000"/>
                <w:sz w:val="18"/>
                <w:szCs w:val="18"/>
              </w:rPr>
              <w:t>%</w:t>
            </w:r>
          </w:p>
        </w:tc>
      </w:tr>
      <w:tr w:rsidR="006416E7" w:rsidRPr="001A7423" w14:paraId="068D82E3" w14:textId="77777777" w:rsidTr="00987432">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418EE8AE"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84673E">
              <w:rPr>
                <w:rFonts w:ascii="Arial" w:hAnsi="Arial" w:cs="Arial"/>
                <w:bCs/>
                <w:color w:val="000000"/>
                <w:sz w:val="18"/>
                <w:szCs w:val="18"/>
              </w:rPr>
              <w:t>10.37</w:t>
            </w:r>
          </w:p>
        </w:tc>
        <w:tc>
          <w:tcPr>
            <w:tcW w:w="814" w:type="pct"/>
            <w:shd w:val="clear" w:color="auto" w:fill="D9D9D9" w:themeFill="background1" w:themeFillShade="D9"/>
            <w:tcMar>
              <w:left w:w="115" w:type="dxa"/>
              <w:right w:w="115" w:type="dxa"/>
            </w:tcMar>
            <w:vAlign w:val="bottom"/>
          </w:tcPr>
          <w:p w14:paraId="38EA25CA" w14:textId="723644F7"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84673E">
              <w:rPr>
                <w:rFonts w:ascii="Arial" w:hAnsi="Arial" w:cs="Arial"/>
                <w:bCs/>
                <w:color w:val="000000"/>
                <w:sz w:val="18"/>
                <w:szCs w:val="18"/>
              </w:rPr>
              <w:t>5.4</w:t>
            </w:r>
            <w:r>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09B88330" w14:textId="230D4CCB"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84673E">
              <w:rPr>
                <w:rFonts w:ascii="Arial" w:hAnsi="Arial" w:cs="Arial"/>
                <w:bCs/>
                <w:color w:val="000000"/>
                <w:sz w:val="18"/>
                <w:szCs w:val="18"/>
              </w:rPr>
              <w:t>0.8</w:t>
            </w:r>
            <w:r w:rsidRPr="001A7423">
              <w:rPr>
                <w:rFonts w:ascii="Arial" w:hAnsi="Arial" w:cs="Arial"/>
                <w:bCs/>
                <w:color w:val="000000"/>
                <w:sz w:val="18"/>
                <w:szCs w:val="18"/>
              </w:rPr>
              <w:t>%</w:t>
            </w:r>
          </w:p>
        </w:tc>
      </w:tr>
      <w:tr w:rsidR="006416E7" w:rsidRPr="001A7423" w14:paraId="2216A6B8"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335FC6A1" w:rsidR="006416E7" w:rsidRPr="001A7423" w:rsidRDefault="006416E7" w:rsidP="006416E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84673E">
              <w:rPr>
                <w:rFonts w:ascii="Arial" w:hAnsi="Arial" w:cs="Arial"/>
                <w:bCs/>
                <w:color w:val="000000"/>
                <w:sz w:val="18"/>
                <w:szCs w:val="18"/>
              </w:rPr>
              <w:t>6.00</w:t>
            </w:r>
          </w:p>
        </w:tc>
        <w:tc>
          <w:tcPr>
            <w:tcW w:w="814" w:type="pct"/>
            <w:shd w:val="clear" w:color="auto" w:fill="FFFFFF" w:themeFill="background1"/>
            <w:tcMar>
              <w:left w:w="115" w:type="dxa"/>
              <w:right w:w="115" w:type="dxa"/>
            </w:tcMar>
            <w:vAlign w:val="bottom"/>
          </w:tcPr>
          <w:p w14:paraId="4C569A2D" w14:textId="482F6D7F" w:rsidR="006416E7" w:rsidRPr="001A7423" w:rsidRDefault="0084673E" w:rsidP="006416E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-4.3</w:t>
            </w:r>
            <w:r w:rsidR="006416E7">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31659BCC" w14:textId="29305307" w:rsidR="006416E7" w:rsidRPr="001A7423" w:rsidRDefault="0084673E" w:rsidP="006416E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-3.7</w:t>
            </w:r>
            <w:r w:rsidR="006416E7" w:rsidRPr="001A7423">
              <w:rPr>
                <w:rFonts w:ascii="Arial" w:hAnsi="Arial" w:cs="Arial"/>
                <w:bCs/>
                <w:color w:val="000000"/>
                <w:sz w:val="18"/>
                <w:szCs w:val="18"/>
              </w:rPr>
              <w:t>%</w:t>
            </w:r>
          </w:p>
        </w:tc>
      </w:tr>
    </w:tbl>
    <w:p w14:paraId="61932714" w14:textId="3D5B12C5" w:rsidR="00F7176E" w:rsidRDefault="00456776" w:rsidP="00544D35">
      <w:pPr>
        <w:pStyle w:val="NoSpacing"/>
        <w:rPr>
          <w:rFonts w:ascii="Arial" w:hAnsi="Arial" w:cs="Arial"/>
          <w:sz w:val="20"/>
          <w:szCs w:val="20"/>
        </w:rPr>
      </w:pPr>
      <w:r>
        <w:rPr>
          <w:rFonts w:ascii="Arial" w:hAnsi="Arial" w:cs="Arial"/>
          <w:sz w:val="20"/>
          <w:szCs w:val="20"/>
        </w:rPr>
        <w:t xml:space="preserve">Price movements for the five largest sellers were mixed. </w:t>
      </w:r>
      <w:r w:rsidR="00A94364">
        <w:rPr>
          <w:rFonts w:ascii="Arial" w:hAnsi="Arial" w:cs="Arial"/>
          <w:sz w:val="20"/>
          <w:szCs w:val="20"/>
        </w:rPr>
        <w:t>Crab</w:t>
      </w:r>
      <w:r>
        <w:rPr>
          <w:rFonts w:ascii="Arial" w:hAnsi="Arial" w:cs="Arial"/>
          <w:sz w:val="20"/>
          <w:szCs w:val="20"/>
        </w:rPr>
        <w:t xml:space="preserve"> prices increased </w:t>
      </w:r>
      <w:r w:rsidR="002650ED">
        <w:rPr>
          <w:rFonts w:ascii="Arial" w:hAnsi="Arial" w:cs="Arial"/>
          <w:sz w:val="20"/>
          <w:szCs w:val="20"/>
        </w:rPr>
        <w:t>1</w:t>
      </w:r>
      <w:r w:rsidR="0084673E">
        <w:rPr>
          <w:rFonts w:ascii="Arial" w:hAnsi="Arial" w:cs="Arial"/>
          <w:sz w:val="20"/>
          <w:szCs w:val="20"/>
        </w:rPr>
        <w:t>1.4%</w:t>
      </w:r>
      <w:r>
        <w:rPr>
          <w:rFonts w:ascii="Arial" w:hAnsi="Arial" w:cs="Arial"/>
          <w:sz w:val="20"/>
          <w:szCs w:val="20"/>
        </w:rPr>
        <w:t xml:space="preserve">, whereas tilapia prices were down. </w:t>
      </w:r>
      <w:r w:rsidR="0084673E">
        <w:rPr>
          <w:rFonts w:ascii="Arial" w:hAnsi="Arial" w:cs="Arial"/>
          <w:sz w:val="20"/>
          <w:szCs w:val="20"/>
        </w:rPr>
        <w:t xml:space="preserve">Fresh salmon prices are mostly unchanged from last year and the year prior. </w:t>
      </w:r>
    </w:p>
    <w:p w14:paraId="49D58F86" w14:textId="3F973E4C" w:rsidR="00E80F34" w:rsidRDefault="00E80F34" w:rsidP="00C94CA8">
      <w:pPr>
        <w:pStyle w:val="NoSpacing"/>
        <w:rPr>
          <w:rFonts w:ascii="Arial" w:hAnsi="Arial" w:cs="Arial"/>
          <w:color w:val="000000" w:themeColor="text1"/>
          <w:sz w:val="20"/>
          <w:szCs w:val="20"/>
        </w:rPr>
      </w:pPr>
      <w:bookmarkStart w:id="5" w:name="_Hlk116283646"/>
    </w:p>
    <w:p w14:paraId="0537979E" w14:textId="77777777" w:rsidR="002650ED" w:rsidRPr="001544DD" w:rsidRDefault="002650ED" w:rsidP="00C94CA8">
      <w:pPr>
        <w:pStyle w:val="NoSpacing"/>
        <w:rPr>
          <w:rFonts w:ascii="Arial" w:hAnsi="Arial" w:cs="Arial"/>
          <w:color w:val="000000" w:themeColor="text1"/>
          <w:sz w:val="36"/>
          <w:szCs w:val="36"/>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B813E6" w:rsidRPr="00DA3DDE" w14:paraId="4273C9D1" w14:textId="77777777" w:rsidTr="00D5653C">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tcBorders>
              <w:left w:val="none" w:sz="0" w:space="0" w:color="auto"/>
              <w:right w:val="none" w:sz="0" w:space="0" w:color="auto"/>
            </w:tcBorders>
            <w:shd w:val="clear" w:color="auto" w:fill="17365D" w:themeFill="text2" w:themeFillShade="BF"/>
          </w:tcPr>
          <w:p w14:paraId="4B90F613" w14:textId="635EA8F6" w:rsidR="00D5653C" w:rsidRPr="00D5653C" w:rsidRDefault="00D5653C" w:rsidP="00B813E6">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8B7143">
              <w:rPr>
                <w:rFonts w:ascii="Arial" w:hAnsi="Arial" w:cs="Arial"/>
                <w:color w:val="FFFFFF" w:themeColor="background1"/>
                <w:sz w:val="18"/>
                <w:szCs w:val="18"/>
              </w:rPr>
              <w:t xml:space="preserve"> </w:t>
            </w:r>
            <w:r w:rsidR="00CD7E54">
              <w:rPr>
                <w:rFonts w:ascii="Arial" w:hAnsi="Arial" w:cs="Arial"/>
                <w:color w:val="FFFFFF" w:themeColor="background1"/>
                <w:sz w:val="18"/>
                <w:szCs w:val="18"/>
              </w:rPr>
              <w:t>June 2025</w:t>
            </w:r>
          </w:p>
        </w:tc>
        <w:tc>
          <w:tcPr>
            <w:tcW w:w="1175" w:type="pct"/>
            <w:tcBorders>
              <w:left w:val="none" w:sz="0" w:space="0" w:color="auto"/>
              <w:right w:val="none" w:sz="0" w:space="0" w:color="auto"/>
            </w:tcBorders>
            <w:shd w:val="clear" w:color="auto" w:fill="17365D" w:themeFill="text2" w:themeFillShade="BF"/>
            <w:tcMar>
              <w:left w:w="115" w:type="dxa"/>
              <w:right w:w="115" w:type="dxa"/>
            </w:tcMar>
          </w:tcPr>
          <w:p w14:paraId="133D08CD"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tcBorders>
              <w:left w:val="none" w:sz="0" w:space="0" w:color="auto"/>
              <w:right w:val="none" w:sz="0" w:space="0" w:color="auto"/>
            </w:tcBorders>
            <w:shd w:val="clear" w:color="auto" w:fill="17365D" w:themeFill="text2" w:themeFillShade="BF"/>
            <w:tcMar>
              <w:left w:w="115" w:type="dxa"/>
              <w:right w:w="115" w:type="dxa"/>
            </w:tcMar>
          </w:tcPr>
          <w:p w14:paraId="27876868"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tcBorders>
              <w:left w:val="none" w:sz="0" w:space="0" w:color="auto"/>
              <w:right w:val="none" w:sz="0" w:space="0" w:color="auto"/>
            </w:tcBorders>
            <w:shd w:val="clear" w:color="auto" w:fill="17365D" w:themeFill="text2" w:themeFillShade="BF"/>
            <w:tcMar>
              <w:left w:w="115" w:type="dxa"/>
              <w:right w:w="115" w:type="dxa"/>
            </w:tcMar>
          </w:tcPr>
          <w:p w14:paraId="10BD1FA5" w14:textId="5DB0A9DF"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vs. </w:t>
            </w:r>
            <w:r w:rsidR="00D5653C">
              <w:rPr>
                <w:rFonts w:ascii="Arial" w:hAnsi="Arial" w:cs="Arial"/>
                <w:color w:val="FFFFFF" w:themeColor="background1"/>
                <w:sz w:val="18"/>
                <w:szCs w:val="18"/>
              </w:rPr>
              <w:t>2</w:t>
            </w:r>
            <w:r>
              <w:rPr>
                <w:rFonts w:ascii="Arial" w:hAnsi="Arial" w:cs="Arial"/>
                <w:color w:val="FFFFFF" w:themeColor="background1"/>
                <w:sz w:val="18"/>
                <w:szCs w:val="18"/>
              </w:rPr>
              <w:t>YA</w:t>
            </w:r>
          </w:p>
        </w:tc>
      </w:tr>
      <w:tr w:rsidR="006416E7" w:rsidRPr="001A7423" w14:paraId="4B297559" w14:textId="77777777" w:rsidTr="00B275A0">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6F123EB3"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29FC48D2" w14:textId="0FC60C23" w:rsidR="006416E7" w:rsidRPr="001A7423" w:rsidRDefault="006416E7" w:rsidP="006416E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84673E">
              <w:rPr>
                <w:rFonts w:ascii="Arial" w:hAnsi="Arial" w:cs="Arial"/>
                <w:bCs/>
                <w:color w:val="000000"/>
                <w:sz w:val="18"/>
                <w:szCs w:val="18"/>
              </w:rPr>
              <w:t>8.07</w:t>
            </w:r>
          </w:p>
        </w:tc>
        <w:tc>
          <w:tcPr>
            <w:tcW w:w="813" w:type="pct"/>
            <w:shd w:val="clear" w:color="auto" w:fill="FFFFFF" w:themeFill="background1"/>
            <w:tcMar>
              <w:left w:w="115" w:type="dxa"/>
              <w:right w:w="115" w:type="dxa"/>
            </w:tcMar>
            <w:vAlign w:val="bottom"/>
          </w:tcPr>
          <w:p w14:paraId="4E827A6D" w14:textId="489D7EDF" w:rsidR="006416E7" w:rsidRPr="001A7423" w:rsidRDefault="006416E7" w:rsidP="006416E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84673E">
              <w:rPr>
                <w:rFonts w:ascii="Arial" w:hAnsi="Arial" w:cs="Arial"/>
                <w:bCs/>
                <w:color w:val="000000"/>
                <w:sz w:val="18"/>
                <w:szCs w:val="18"/>
              </w:rPr>
              <w:t>4.7</w:t>
            </w:r>
            <w:r>
              <w:rPr>
                <w:rFonts w:ascii="Arial" w:hAnsi="Arial" w:cs="Arial"/>
                <w:bCs/>
                <w:color w:val="000000"/>
                <w:sz w:val="18"/>
                <w:szCs w:val="18"/>
              </w:rPr>
              <w:t>%</w:t>
            </w:r>
          </w:p>
        </w:tc>
        <w:tc>
          <w:tcPr>
            <w:tcW w:w="876" w:type="pct"/>
            <w:shd w:val="clear" w:color="auto" w:fill="FFFFFF" w:themeFill="background1"/>
            <w:tcMar>
              <w:left w:w="115" w:type="dxa"/>
              <w:right w:w="115" w:type="dxa"/>
            </w:tcMar>
            <w:vAlign w:val="bottom"/>
          </w:tcPr>
          <w:p w14:paraId="7E9F9524" w14:textId="10981983" w:rsidR="006416E7" w:rsidRPr="001A7423" w:rsidRDefault="0084673E" w:rsidP="006416E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-0.8</w:t>
            </w:r>
            <w:r w:rsidR="006416E7" w:rsidRPr="001A7423">
              <w:rPr>
                <w:rFonts w:ascii="Arial" w:hAnsi="Arial" w:cs="Arial"/>
                <w:bCs/>
                <w:color w:val="000000"/>
                <w:sz w:val="18"/>
                <w:szCs w:val="18"/>
              </w:rPr>
              <w:t>%</w:t>
            </w:r>
          </w:p>
        </w:tc>
      </w:tr>
      <w:tr w:rsidR="006416E7" w:rsidRPr="001A7423" w14:paraId="1AB3EC2D" w14:textId="77777777" w:rsidTr="00B275A0">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087A722"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3F2387FC" w14:textId="383D76C5"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84673E">
              <w:rPr>
                <w:rFonts w:ascii="Arial" w:hAnsi="Arial" w:cs="Arial"/>
                <w:bCs/>
                <w:color w:val="000000"/>
                <w:sz w:val="18"/>
                <w:szCs w:val="18"/>
              </w:rPr>
              <w:t>9.19</w:t>
            </w:r>
          </w:p>
        </w:tc>
        <w:tc>
          <w:tcPr>
            <w:tcW w:w="813" w:type="pct"/>
            <w:shd w:val="clear" w:color="auto" w:fill="D9D9D9" w:themeFill="background1" w:themeFillShade="D9"/>
            <w:tcMar>
              <w:left w:w="115" w:type="dxa"/>
              <w:right w:w="115" w:type="dxa"/>
            </w:tcMar>
            <w:vAlign w:val="bottom"/>
          </w:tcPr>
          <w:p w14:paraId="5124B712" w14:textId="6143972F"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84673E">
              <w:rPr>
                <w:rFonts w:ascii="Arial" w:hAnsi="Arial" w:cs="Arial"/>
                <w:bCs/>
                <w:color w:val="000000"/>
                <w:sz w:val="18"/>
                <w:szCs w:val="18"/>
              </w:rPr>
              <w:t>1.8</w:t>
            </w:r>
            <w:r>
              <w:rPr>
                <w:rFonts w:ascii="Arial" w:hAnsi="Arial" w:cs="Arial"/>
                <w:bCs/>
                <w:color w:val="000000"/>
                <w:sz w:val="18"/>
                <w:szCs w:val="18"/>
              </w:rPr>
              <w:t>%</w:t>
            </w:r>
          </w:p>
        </w:tc>
        <w:tc>
          <w:tcPr>
            <w:tcW w:w="876" w:type="pct"/>
            <w:shd w:val="clear" w:color="auto" w:fill="D9D9D9" w:themeFill="background1" w:themeFillShade="D9"/>
            <w:tcMar>
              <w:left w:w="115" w:type="dxa"/>
              <w:right w:w="115" w:type="dxa"/>
            </w:tcMar>
            <w:vAlign w:val="bottom"/>
          </w:tcPr>
          <w:p w14:paraId="0890164B" w14:textId="2C0F7036" w:rsidR="006416E7" w:rsidRPr="001A7423" w:rsidRDefault="0084673E"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-3.6</w:t>
            </w:r>
            <w:r w:rsidR="006416E7" w:rsidRPr="001A7423">
              <w:rPr>
                <w:rFonts w:ascii="Arial" w:hAnsi="Arial" w:cs="Arial"/>
                <w:bCs/>
                <w:color w:val="000000"/>
                <w:sz w:val="18"/>
                <w:szCs w:val="18"/>
              </w:rPr>
              <w:t>%</w:t>
            </w:r>
          </w:p>
        </w:tc>
      </w:tr>
    </w:tbl>
    <w:p w14:paraId="74C156B7" w14:textId="71A6BC20" w:rsidR="00132CD2" w:rsidRPr="00132CD2" w:rsidRDefault="00132CD2" w:rsidP="00C94CA8">
      <w:pPr>
        <w:pStyle w:val="NoSpacing"/>
        <w:rPr>
          <w:rFonts w:ascii="Arial" w:hAnsi="Arial" w:cs="Arial"/>
          <w:color w:val="000000" w:themeColor="text1"/>
          <w:sz w:val="20"/>
          <w:szCs w:val="20"/>
        </w:rPr>
      </w:pPr>
      <w:r w:rsidRPr="00132CD2">
        <w:rPr>
          <w:rFonts w:ascii="Arial" w:hAnsi="Arial" w:cs="Arial"/>
          <w:color w:val="000000" w:themeColor="text1"/>
          <w:sz w:val="20"/>
          <w:szCs w:val="20"/>
        </w:rPr>
        <w:t xml:space="preserve">In </w:t>
      </w:r>
      <w:r w:rsidR="00E607E5">
        <w:rPr>
          <w:rFonts w:ascii="Arial" w:hAnsi="Arial" w:cs="Arial"/>
          <w:color w:val="000000" w:themeColor="text1"/>
          <w:sz w:val="20"/>
          <w:szCs w:val="20"/>
        </w:rPr>
        <w:t xml:space="preserve">the </w:t>
      </w:r>
      <w:r w:rsidRPr="00132CD2">
        <w:rPr>
          <w:rFonts w:ascii="Arial" w:hAnsi="Arial" w:cs="Arial"/>
          <w:color w:val="000000" w:themeColor="text1"/>
          <w:sz w:val="20"/>
          <w:szCs w:val="20"/>
        </w:rPr>
        <w:t>frozen</w:t>
      </w:r>
      <w:r w:rsidR="00E607E5">
        <w:rPr>
          <w:rFonts w:ascii="Arial" w:hAnsi="Arial" w:cs="Arial"/>
          <w:color w:val="000000" w:themeColor="text1"/>
          <w:sz w:val="20"/>
          <w:szCs w:val="20"/>
        </w:rPr>
        <w:t xml:space="preserve"> food aisle</w:t>
      </w:r>
      <w:r>
        <w:rPr>
          <w:rFonts w:ascii="Arial" w:hAnsi="Arial" w:cs="Arial"/>
          <w:color w:val="000000" w:themeColor="text1"/>
          <w:sz w:val="20"/>
          <w:szCs w:val="20"/>
        </w:rPr>
        <w:t xml:space="preserve">, </w:t>
      </w:r>
      <w:r w:rsidR="00D22F99">
        <w:rPr>
          <w:rFonts w:ascii="Arial" w:hAnsi="Arial" w:cs="Arial"/>
          <w:color w:val="000000" w:themeColor="text1"/>
          <w:sz w:val="20"/>
          <w:szCs w:val="20"/>
        </w:rPr>
        <w:t>t</w:t>
      </w:r>
      <w:r w:rsidR="005D27D0">
        <w:rPr>
          <w:rFonts w:ascii="Arial" w:hAnsi="Arial" w:cs="Arial"/>
          <w:color w:val="000000" w:themeColor="text1"/>
          <w:sz w:val="20"/>
          <w:szCs w:val="20"/>
        </w:rPr>
        <w:t xml:space="preserve">he average price per pound </w:t>
      </w:r>
      <w:r w:rsidR="00E11240">
        <w:rPr>
          <w:rFonts w:ascii="Arial" w:hAnsi="Arial" w:cs="Arial"/>
          <w:color w:val="000000" w:themeColor="text1"/>
          <w:sz w:val="20"/>
          <w:szCs w:val="20"/>
        </w:rPr>
        <w:t>for shrimp</w:t>
      </w:r>
      <w:r w:rsidR="0084673E">
        <w:rPr>
          <w:rFonts w:ascii="Arial" w:hAnsi="Arial" w:cs="Arial"/>
          <w:color w:val="000000" w:themeColor="text1"/>
          <w:sz w:val="20"/>
          <w:szCs w:val="20"/>
        </w:rPr>
        <w:t xml:space="preserve"> and salmon were substantially lower than those seen in the fresh/refrigerated side of the business. Frozen shrimp prices averaged slightly </w:t>
      </w:r>
      <w:r w:rsidR="0084673E">
        <w:rPr>
          <w:rFonts w:ascii="Arial" w:hAnsi="Arial" w:cs="Arial"/>
          <w:color w:val="000000" w:themeColor="text1"/>
          <w:sz w:val="20"/>
          <w:szCs w:val="20"/>
        </w:rPr>
        <w:br/>
        <w:t>more than $8, whereas frozen salmon came in slightly above $</w:t>
      </w:r>
      <w:proofErr w:type="gramStart"/>
      <w:r w:rsidR="0084673E">
        <w:rPr>
          <w:rFonts w:ascii="Arial" w:hAnsi="Arial" w:cs="Arial"/>
          <w:color w:val="000000" w:themeColor="text1"/>
          <w:sz w:val="20"/>
          <w:szCs w:val="20"/>
        </w:rPr>
        <w:t>9.</w:t>
      </w:r>
      <w:r w:rsidR="005D27D0">
        <w:rPr>
          <w:rFonts w:ascii="Arial" w:hAnsi="Arial" w:cs="Arial"/>
          <w:color w:val="000000" w:themeColor="text1"/>
          <w:sz w:val="20"/>
          <w:szCs w:val="20"/>
        </w:rPr>
        <w:t>.</w:t>
      </w:r>
      <w:proofErr w:type="gramEnd"/>
      <w:r w:rsidR="00B813E6">
        <w:rPr>
          <w:rFonts w:ascii="Arial" w:hAnsi="Arial" w:cs="Arial"/>
          <w:color w:val="000000" w:themeColor="text1"/>
          <w:sz w:val="20"/>
          <w:szCs w:val="20"/>
        </w:rPr>
        <w:t xml:space="preserve"> </w:t>
      </w:r>
      <w:r w:rsidR="00C90F00">
        <w:rPr>
          <w:rFonts w:ascii="Arial" w:hAnsi="Arial" w:cs="Arial"/>
          <w:color w:val="000000" w:themeColor="text1"/>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w:t>
      </w:r>
      <w:proofErr w:type="spellStart"/>
      <w:r w:rsidRPr="001634E8">
        <w:rPr>
          <w:rFonts w:ascii="Arial" w:hAnsi="Arial" w:cs="Arial"/>
          <w:color w:val="7F7F7F" w:themeColor="text1" w:themeTint="80"/>
          <w:sz w:val="16"/>
          <w:szCs w:val="16"/>
        </w:rPr>
        <w:t>Circana</w:t>
      </w:r>
      <w:proofErr w:type="spellEnd"/>
      <w:r w:rsidRPr="001634E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4976A83B" w14:textId="77777777" w:rsidR="0084673E" w:rsidRDefault="0084673E" w:rsidP="00F9280C">
      <w:pPr>
        <w:pStyle w:val="NoSpacing"/>
        <w:rPr>
          <w:rFonts w:ascii="Arial" w:hAnsi="Arial" w:cs="Arial"/>
          <w:b/>
          <w:bCs/>
          <w:color w:val="595959" w:themeColor="text1" w:themeTint="A6"/>
          <w:sz w:val="24"/>
          <w:szCs w:val="24"/>
        </w:rPr>
      </w:pPr>
    </w:p>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32CF301A" w14:textId="3F38BF14" w:rsidR="00BB587C" w:rsidRDefault="004D013F" w:rsidP="00BB587C">
      <w:pPr>
        <w:pStyle w:val="NoSpacing"/>
        <w:rPr>
          <w:rFonts w:ascii="Arial" w:hAnsi="Arial" w:cs="Arial"/>
          <w:sz w:val="20"/>
        </w:rPr>
      </w:pPr>
      <w:bookmarkStart w:id="6" w:name="_Hlk92610860"/>
      <w:r>
        <w:rPr>
          <w:rFonts w:ascii="Arial" w:hAnsi="Arial" w:cs="Arial"/>
          <w:sz w:val="20"/>
        </w:rPr>
        <w:t>June delivered dollar growth across all three temperature zones: fresh/refrigerated, frozen and ambient</w:t>
      </w:r>
      <w:r w:rsidR="006F697A">
        <w:rPr>
          <w:rFonts w:ascii="Arial" w:hAnsi="Arial" w:cs="Arial"/>
          <w:sz w:val="20"/>
        </w:rPr>
        <w:t>.</w:t>
      </w:r>
      <w:r>
        <w:rPr>
          <w:rFonts w:ascii="Arial" w:hAnsi="Arial" w:cs="Arial"/>
          <w:sz w:val="20"/>
        </w:rPr>
        <w:t xml:space="preserve"> Shelf-stable seafood had the strongest growth, at +2.2, which was true demand growth with pound sales up 3.1% over last year’s June. For fresh and frozen, the dollar gains were driven by inflation, with pounds down 1.5% and 2.5%, respectively. </w:t>
      </w:r>
      <w:r w:rsidR="006F697A">
        <w:rPr>
          <w:rFonts w:ascii="Arial" w:hAnsi="Arial" w:cs="Arial"/>
          <w:sz w:val="20"/>
        </w:rPr>
        <w:t xml:space="preserve"> </w:t>
      </w:r>
    </w:p>
    <w:p w14:paraId="01824165" w14:textId="77777777" w:rsidR="001544DD" w:rsidRPr="006F697A" w:rsidRDefault="001544DD"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2070"/>
        <w:gridCol w:w="810"/>
        <w:gridCol w:w="853"/>
        <w:gridCol w:w="913"/>
        <w:gridCol w:w="883"/>
        <w:gridCol w:w="882"/>
        <w:gridCol w:w="973"/>
        <w:gridCol w:w="973"/>
        <w:gridCol w:w="973"/>
        <w:gridCol w:w="973"/>
      </w:tblGrid>
      <w:tr w:rsidR="00C853F3" w:rsidRPr="00BC7615" w14:paraId="4583C2C6" w14:textId="77777777" w:rsidTr="00C84BA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341" w:type="dxa"/>
            <w:gridSpan w:val="5"/>
            <w:tcBorders>
              <w:top w:val="none" w:sz="0" w:space="0" w:color="auto"/>
              <w:bottom w:val="none" w:sz="0" w:space="0" w:color="auto"/>
              <w:right w:val="none" w:sz="0" w:space="0" w:color="auto"/>
            </w:tcBorders>
            <w:shd w:val="clear" w:color="auto" w:fill="17365D" w:themeFill="text2" w:themeFillShade="BF"/>
          </w:tcPr>
          <w:p w14:paraId="653EE211" w14:textId="335CA20F" w:rsidR="00C853F3" w:rsidRPr="00BC7615" w:rsidRDefault="00CD7E54"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June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311F4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81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roofErr w:type="spellStart"/>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vs</w:t>
            </w:r>
            <w:proofErr w:type="spellEnd"/>
            <w:r w:rsidR="00577D24" w:rsidRPr="00BC7615">
              <w:rPr>
                <w:rFonts w:ascii="Arial" w:eastAsia="Times New Roman" w:hAnsi="Arial" w:cs="Arial"/>
                <w:color w:val="FFFFFF" w:themeColor="background1"/>
                <w:sz w:val="18"/>
                <w:szCs w:val="20"/>
              </w:rPr>
              <w:t xml:space="preserve">.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2650ED" w:rsidRPr="001C710E" w14:paraId="33FBC25F" w14:textId="77777777" w:rsidTr="00AC6A10">
        <w:trPr>
          <w:trHeight w:val="113"/>
        </w:trPr>
        <w:tc>
          <w:tcPr>
            <w:cnfStyle w:val="001000000000" w:firstRow="0" w:lastRow="0" w:firstColumn="1" w:lastColumn="0" w:oddVBand="0" w:evenVBand="0" w:oddHBand="0" w:evenHBand="0" w:firstRowFirstColumn="0" w:firstRowLastColumn="0" w:lastRowFirstColumn="0" w:lastRowLastColumn="0"/>
            <w:tcW w:w="2070" w:type="dxa"/>
            <w:noWrap/>
          </w:tcPr>
          <w:p w14:paraId="5A4EE10F" w14:textId="53228874" w:rsidR="002650ED" w:rsidRPr="001C710E" w:rsidRDefault="002650ED" w:rsidP="002650ED">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w:t>
            </w:r>
            <w:r>
              <w:rPr>
                <w:rFonts w:ascii="Arial" w:eastAsia="Times New Roman" w:hAnsi="Arial" w:cs="Arial"/>
                <w:b w:val="0"/>
                <w:color w:val="000000" w:themeColor="text1"/>
                <w:sz w:val="18"/>
                <w:szCs w:val="18"/>
              </w:rPr>
              <w:t>esh</w:t>
            </w:r>
            <w:r w:rsidRPr="001C710E">
              <w:rPr>
                <w:rFonts w:ascii="Arial" w:eastAsia="Times New Roman" w:hAnsi="Arial" w:cs="Arial"/>
                <w:b w:val="0"/>
                <w:color w:val="000000" w:themeColor="text1"/>
                <w:sz w:val="18"/>
                <w:szCs w:val="18"/>
              </w:rPr>
              <w:t xml:space="preserve"> seafood</w:t>
            </w:r>
          </w:p>
        </w:tc>
        <w:tc>
          <w:tcPr>
            <w:tcW w:w="810" w:type="dxa"/>
          </w:tcPr>
          <w:p w14:paraId="1F1CE786" w14:textId="67F29061" w:rsidR="002650ED" w:rsidRPr="001C710E"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47E17">
              <w:rPr>
                <w:rFonts w:ascii="Arial" w:hAnsi="Arial" w:cs="Arial"/>
                <w:bCs/>
                <w:color w:val="000000" w:themeColor="text1"/>
                <w:sz w:val="18"/>
                <w:szCs w:val="18"/>
              </w:rPr>
              <w:t>$</w:t>
            </w:r>
            <w:r w:rsidR="00B258F8">
              <w:rPr>
                <w:rFonts w:ascii="Arial" w:hAnsi="Arial" w:cs="Arial"/>
                <w:bCs/>
                <w:color w:val="000000" w:themeColor="text1"/>
                <w:sz w:val="18"/>
                <w:szCs w:val="18"/>
              </w:rPr>
              <w:t>677M</w:t>
            </w:r>
          </w:p>
        </w:tc>
        <w:tc>
          <w:tcPr>
            <w:tcW w:w="853" w:type="dxa"/>
          </w:tcPr>
          <w:p w14:paraId="32EAC8D0" w14:textId="2F2BD571" w:rsidR="002650ED" w:rsidRPr="001C710E"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w:t>
            </w:r>
            <w:r w:rsidR="00B258F8">
              <w:rPr>
                <w:rFonts w:ascii="Arial" w:hAnsi="Arial" w:cs="Arial"/>
                <w:bCs/>
                <w:color w:val="000000" w:themeColor="text1"/>
                <w:sz w:val="18"/>
                <w:szCs w:val="18"/>
              </w:rPr>
              <w:t>0.4</w:t>
            </w:r>
            <w:r w:rsidRPr="00DC78A5">
              <w:rPr>
                <w:rFonts w:ascii="Arial" w:hAnsi="Arial" w:cs="Arial"/>
                <w:bCs/>
                <w:color w:val="000000" w:themeColor="text1"/>
                <w:sz w:val="18"/>
                <w:szCs w:val="18"/>
              </w:rPr>
              <w:t>%</w:t>
            </w:r>
          </w:p>
        </w:tc>
        <w:tc>
          <w:tcPr>
            <w:tcW w:w="913" w:type="dxa"/>
          </w:tcPr>
          <w:p w14:paraId="742691D3" w14:textId="4810DEFF" w:rsidR="002650ED" w:rsidRPr="001C710E" w:rsidRDefault="004D013F"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-2.2</w:t>
            </w:r>
            <w:r w:rsidR="002650ED" w:rsidRPr="000E7473">
              <w:rPr>
                <w:rFonts w:ascii="Arial" w:hAnsi="Arial" w:cs="Arial"/>
                <w:bCs/>
                <w:color w:val="000000"/>
                <w:sz w:val="18"/>
                <w:szCs w:val="18"/>
              </w:rPr>
              <w:t>%</w:t>
            </w:r>
          </w:p>
        </w:tc>
        <w:tc>
          <w:tcPr>
            <w:tcW w:w="883" w:type="dxa"/>
          </w:tcPr>
          <w:p w14:paraId="06B549B0" w14:textId="134B4E59" w:rsidR="002650ED" w:rsidRPr="001C710E" w:rsidRDefault="004D013F"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-1.5</w:t>
            </w:r>
            <w:r w:rsidR="002650ED" w:rsidRPr="000E7473">
              <w:rPr>
                <w:rFonts w:ascii="Arial" w:hAnsi="Arial" w:cs="Arial"/>
                <w:bCs/>
                <w:color w:val="000000"/>
                <w:sz w:val="18"/>
                <w:szCs w:val="18"/>
              </w:rPr>
              <w:t>%</w:t>
            </w:r>
          </w:p>
        </w:tc>
        <w:tc>
          <w:tcPr>
            <w:tcW w:w="882" w:type="dxa"/>
            <w:tcBorders>
              <w:right w:val="single" w:sz="4" w:space="0" w:color="31849B" w:themeColor="accent5" w:themeShade="BF"/>
            </w:tcBorders>
          </w:tcPr>
          <w:p w14:paraId="73D88621" w14:textId="09799262" w:rsidR="002650ED" w:rsidRPr="001C710E" w:rsidRDefault="004D013F"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-3.4</w:t>
            </w:r>
            <w:r w:rsidR="002650ED" w:rsidRPr="009E5E77">
              <w:rPr>
                <w:rFonts w:ascii="Arial" w:hAnsi="Arial" w:cs="Arial"/>
                <w:bCs/>
                <w:color w:val="000000"/>
                <w:sz w:val="18"/>
                <w:szCs w:val="18"/>
              </w:rPr>
              <w:t>%</w:t>
            </w:r>
          </w:p>
        </w:tc>
        <w:tc>
          <w:tcPr>
            <w:tcW w:w="973" w:type="dxa"/>
            <w:tcBorders>
              <w:left w:val="single" w:sz="4" w:space="0" w:color="31849B" w:themeColor="accent5" w:themeShade="BF"/>
            </w:tcBorders>
          </w:tcPr>
          <w:p w14:paraId="549E8BBC" w14:textId="5D9EF287"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1544DD">
              <w:rPr>
                <w:rFonts w:ascii="Arial" w:hAnsi="Arial" w:cs="Arial"/>
                <w:bCs/>
                <w:color w:val="000000" w:themeColor="text1"/>
                <w:sz w:val="18"/>
                <w:szCs w:val="18"/>
              </w:rPr>
              <w:t>0.</w:t>
            </w:r>
            <w:r w:rsidR="004D013F">
              <w:rPr>
                <w:rFonts w:ascii="Arial" w:hAnsi="Arial" w:cs="Arial"/>
                <w:bCs/>
                <w:color w:val="000000" w:themeColor="text1"/>
                <w:sz w:val="18"/>
                <w:szCs w:val="18"/>
              </w:rPr>
              <w:t>6</w:t>
            </w:r>
            <w:r w:rsidRPr="00DC78A5">
              <w:rPr>
                <w:rFonts w:ascii="Arial" w:hAnsi="Arial" w:cs="Arial"/>
                <w:bCs/>
                <w:color w:val="000000" w:themeColor="text1"/>
                <w:sz w:val="18"/>
                <w:szCs w:val="18"/>
              </w:rPr>
              <w:t>%</w:t>
            </w:r>
          </w:p>
        </w:tc>
        <w:tc>
          <w:tcPr>
            <w:tcW w:w="973" w:type="dxa"/>
          </w:tcPr>
          <w:p w14:paraId="61638CED" w14:textId="48338F2D"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E7473">
              <w:rPr>
                <w:rFonts w:ascii="Arial" w:hAnsi="Arial" w:cs="Arial"/>
                <w:bCs/>
                <w:color w:val="000000"/>
                <w:sz w:val="18"/>
                <w:szCs w:val="18"/>
              </w:rPr>
              <w:t>-</w:t>
            </w:r>
            <w:r w:rsidR="001544DD">
              <w:rPr>
                <w:rFonts w:ascii="Arial" w:hAnsi="Arial" w:cs="Arial"/>
                <w:bCs/>
                <w:color w:val="000000"/>
                <w:sz w:val="18"/>
                <w:szCs w:val="18"/>
              </w:rPr>
              <w:t>3.</w:t>
            </w:r>
            <w:r w:rsidR="004D013F">
              <w:rPr>
                <w:rFonts w:ascii="Arial" w:hAnsi="Arial" w:cs="Arial"/>
                <w:bCs/>
                <w:color w:val="000000"/>
                <w:sz w:val="18"/>
                <w:szCs w:val="18"/>
              </w:rPr>
              <w:t>7</w:t>
            </w:r>
            <w:r w:rsidRPr="000E7473">
              <w:rPr>
                <w:rFonts w:ascii="Arial" w:hAnsi="Arial" w:cs="Arial"/>
                <w:bCs/>
                <w:color w:val="000000"/>
                <w:sz w:val="18"/>
                <w:szCs w:val="18"/>
              </w:rPr>
              <w:t>%</w:t>
            </w:r>
          </w:p>
        </w:tc>
        <w:tc>
          <w:tcPr>
            <w:tcW w:w="973" w:type="dxa"/>
          </w:tcPr>
          <w:p w14:paraId="432253F0" w14:textId="6CF92C77" w:rsidR="002650ED" w:rsidRPr="001C710E" w:rsidRDefault="001544D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-0.7</w:t>
            </w:r>
            <w:r w:rsidR="002650ED" w:rsidRPr="000E7473">
              <w:rPr>
                <w:rFonts w:ascii="Arial" w:hAnsi="Arial" w:cs="Arial"/>
                <w:bCs/>
                <w:color w:val="000000"/>
                <w:sz w:val="18"/>
                <w:szCs w:val="18"/>
              </w:rPr>
              <w:t>%</w:t>
            </w:r>
          </w:p>
        </w:tc>
        <w:tc>
          <w:tcPr>
            <w:tcW w:w="973" w:type="dxa"/>
          </w:tcPr>
          <w:p w14:paraId="16FAF0FC" w14:textId="02AA973B"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4D013F">
              <w:rPr>
                <w:rFonts w:ascii="Arial" w:hAnsi="Arial" w:cs="Arial"/>
                <w:bCs/>
                <w:color w:val="000000"/>
                <w:sz w:val="18"/>
                <w:szCs w:val="18"/>
              </w:rPr>
              <w:t>3.0</w:t>
            </w:r>
            <w:r w:rsidRPr="009E5E77">
              <w:rPr>
                <w:rFonts w:ascii="Arial" w:hAnsi="Arial" w:cs="Arial"/>
                <w:bCs/>
                <w:color w:val="000000"/>
                <w:sz w:val="18"/>
                <w:szCs w:val="18"/>
              </w:rPr>
              <w:t>%</w:t>
            </w:r>
          </w:p>
        </w:tc>
      </w:tr>
      <w:tr w:rsidR="00B258F8" w:rsidRPr="001C710E" w14:paraId="63E619E4" w14:textId="77777777" w:rsidTr="00AC6A1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D9D9D9" w:themeFill="background1" w:themeFillShade="D9"/>
            <w:noWrap/>
          </w:tcPr>
          <w:p w14:paraId="5C5C93A5" w14:textId="3375483C" w:rsidR="00B258F8" w:rsidRPr="000A3117" w:rsidRDefault="00B258F8" w:rsidP="00B258F8">
            <w:pPr>
              <w:rPr>
                <w:rFonts w:ascii="Arial" w:eastAsia="Times New Roman" w:hAnsi="Arial" w:cs="Arial"/>
                <w:b w:val="0"/>
                <w:color w:val="000000" w:themeColor="text1"/>
                <w:sz w:val="18"/>
                <w:szCs w:val="18"/>
                <w:highlight w:val="yellow"/>
              </w:rPr>
            </w:pPr>
            <w:r w:rsidRPr="00D5653C">
              <w:rPr>
                <w:rFonts w:ascii="Arial" w:eastAsia="Times New Roman" w:hAnsi="Arial" w:cs="Arial"/>
                <w:b w:val="0"/>
                <w:color w:val="000000" w:themeColor="text1"/>
                <w:sz w:val="18"/>
                <w:szCs w:val="18"/>
              </w:rPr>
              <w:t>Frozen seafood</w:t>
            </w:r>
          </w:p>
        </w:tc>
        <w:tc>
          <w:tcPr>
            <w:tcW w:w="810" w:type="dxa"/>
            <w:shd w:val="clear" w:color="auto" w:fill="D9D9D9" w:themeFill="background1" w:themeFillShade="D9"/>
          </w:tcPr>
          <w:p w14:paraId="669918AD" w14:textId="6BE0BC89" w:rsidR="00B258F8" w:rsidRPr="001C710E" w:rsidRDefault="00B258F8" w:rsidP="00B258F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4D013F">
              <w:rPr>
                <w:rFonts w:ascii="Arial" w:hAnsi="Arial" w:cs="Arial"/>
                <w:bCs/>
                <w:color w:val="000000" w:themeColor="text1"/>
                <w:sz w:val="18"/>
                <w:szCs w:val="18"/>
              </w:rPr>
              <w:t>631</w:t>
            </w:r>
            <w:r>
              <w:rPr>
                <w:rFonts w:ascii="Arial" w:hAnsi="Arial" w:cs="Arial"/>
                <w:bCs/>
                <w:color w:val="000000" w:themeColor="text1"/>
                <w:sz w:val="18"/>
                <w:szCs w:val="18"/>
              </w:rPr>
              <w:t>M</w:t>
            </w:r>
          </w:p>
        </w:tc>
        <w:tc>
          <w:tcPr>
            <w:tcW w:w="853" w:type="dxa"/>
            <w:shd w:val="clear" w:color="auto" w:fill="D9D9D9" w:themeFill="background1" w:themeFillShade="D9"/>
          </w:tcPr>
          <w:p w14:paraId="1A5488BB" w14:textId="7C8B7231" w:rsidR="00B258F8" w:rsidRPr="001C710E" w:rsidRDefault="00B258F8" w:rsidP="00B258F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w:t>
            </w:r>
            <w:r w:rsidR="004D013F">
              <w:rPr>
                <w:rFonts w:ascii="Arial" w:hAnsi="Arial" w:cs="Arial"/>
                <w:bCs/>
                <w:color w:val="000000" w:themeColor="text1"/>
                <w:sz w:val="18"/>
                <w:szCs w:val="18"/>
              </w:rPr>
              <w:t>0.7</w:t>
            </w:r>
            <w:r w:rsidRPr="00DC78A5">
              <w:rPr>
                <w:rFonts w:ascii="Arial" w:hAnsi="Arial" w:cs="Arial"/>
                <w:bCs/>
                <w:color w:val="000000" w:themeColor="text1"/>
                <w:sz w:val="18"/>
                <w:szCs w:val="18"/>
              </w:rPr>
              <w:t>%</w:t>
            </w:r>
          </w:p>
        </w:tc>
        <w:tc>
          <w:tcPr>
            <w:tcW w:w="913" w:type="dxa"/>
            <w:shd w:val="clear" w:color="auto" w:fill="D9D9D9" w:themeFill="background1" w:themeFillShade="D9"/>
          </w:tcPr>
          <w:p w14:paraId="380E2648" w14:textId="40F6E09F" w:rsidR="00B258F8" w:rsidRPr="001C710E" w:rsidRDefault="00B258F8" w:rsidP="00B258F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4D013F">
              <w:rPr>
                <w:rFonts w:ascii="Arial" w:hAnsi="Arial" w:cs="Arial"/>
                <w:bCs/>
                <w:color w:val="000000"/>
                <w:sz w:val="18"/>
                <w:szCs w:val="18"/>
              </w:rPr>
              <w:t>0.0</w:t>
            </w:r>
            <w:r w:rsidRPr="000E7473">
              <w:rPr>
                <w:rFonts w:ascii="Arial" w:hAnsi="Arial" w:cs="Arial"/>
                <w:bCs/>
                <w:color w:val="000000"/>
                <w:sz w:val="18"/>
                <w:szCs w:val="18"/>
              </w:rPr>
              <w:t>%</w:t>
            </w:r>
          </w:p>
        </w:tc>
        <w:tc>
          <w:tcPr>
            <w:tcW w:w="883" w:type="dxa"/>
            <w:shd w:val="clear" w:color="auto" w:fill="D9D9D9" w:themeFill="background1" w:themeFillShade="D9"/>
          </w:tcPr>
          <w:p w14:paraId="11DF626A" w14:textId="69B32A55" w:rsidR="00B258F8" w:rsidRPr="001C710E" w:rsidRDefault="004D013F" w:rsidP="00B258F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-2.5</w:t>
            </w:r>
            <w:r w:rsidR="00B258F8" w:rsidRPr="000E7473">
              <w:rPr>
                <w:rFonts w:ascii="Arial" w:hAnsi="Arial" w:cs="Arial"/>
                <w:bCs/>
                <w:color w:val="000000"/>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1EB8189F" w:rsidR="00B258F8" w:rsidRPr="001C710E" w:rsidRDefault="00B258F8" w:rsidP="00B258F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4D013F">
              <w:rPr>
                <w:rFonts w:ascii="Arial" w:hAnsi="Arial" w:cs="Arial"/>
                <w:bCs/>
                <w:color w:val="000000"/>
                <w:sz w:val="18"/>
                <w:szCs w:val="18"/>
              </w:rPr>
              <w:t>0.7</w:t>
            </w:r>
            <w:r w:rsidRPr="009E5E77">
              <w:rPr>
                <w:rFonts w:ascii="Arial" w:hAnsi="Arial" w:cs="Arial"/>
                <w:bCs/>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58FDA3D2" w:rsidR="00B258F8" w:rsidRPr="001C710E" w:rsidRDefault="00B258F8" w:rsidP="00B258F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4D013F">
              <w:rPr>
                <w:rFonts w:ascii="Arial" w:hAnsi="Arial" w:cs="Arial"/>
                <w:bCs/>
                <w:color w:val="000000" w:themeColor="text1"/>
                <w:sz w:val="18"/>
                <w:szCs w:val="18"/>
              </w:rPr>
              <w:t>2.5</w:t>
            </w:r>
            <w:r w:rsidRPr="00DC78A5">
              <w:rPr>
                <w:rFonts w:ascii="Arial" w:hAnsi="Arial" w:cs="Arial"/>
                <w:bCs/>
                <w:color w:val="000000" w:themeColor="text1"/>
                <w:sz w:val="18"/>
                <w:szCs w:val="18"/>
              </w:rPr>
              <w:t>%</w:t>
            </w:r>
          </w:p>
        </w:tc>
        <w:tc>
          <w:tcPr>
            <w:tcW w:w="973" w:type="dxa"/>
            <w:shd w:val="clear" w:color="auto" w:fill="D9D9D9" w:themeFill="background1" w:themeFillShade="D9"/>
          </w:tcPr>
          <w:p w14:paraId="7BC58367" w14:textId="4CF7D054" w:rsidR="00B258F8" w:rsidRPr="001C710E" w:rsidRDefault="00B258F8" w:rsidP="00B258F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E7473">
              <w:rPr>
                <w:rFonts w:ascii="Arial" w:hAnsi="Arial" w:cs="Arial"/>
                <w:bCs/>
                <w:color w:val="000000"/>
                <w:sz w:val="18"/>
                <w:szCs w:val="18"/>
              </w:rPr>
              <w:t>-</w:t>
            </w:r>
            <w:r w:rsidR="004D013F">
              <w:rPr>
                <w:rFonts w:ascii="Arial" w:hAnsi="Arial" w:cs="Arial"/>
                <w:bCs/>
                <w:color w:val="000000"/>
                <w:sz w:val="18"/>
                <w:szCs w:val="18"/>
              </w:rPr>
              <w:t>2.6</w:t>
            </w:r>
            <w:r w:rsidRPr="000E7473">
              <w:rPr>
                <w:rFonts w:ascii="Arial" w:hAnsi="Arial" w:cs="Arial"/>
                <w:bCs/>
                <w:color w:val="000000"/>
                <w:sz w:val="18"/>
                <w:szCs w:val="18"/>
              </w:rPr>
              <w:t>%</w:t>
            </w:r>
          </w:p>
        </w:tc>
        <w:tc>
          <w:tcPr>
            <w:tcW w:w="973" w:type="dxa"/>
            <w:shd w:val="clear" w:color="auto" w:fill="D9D9D9" w:themeFill="background1" w:themeFillShade="D9"/>
          </w:tcPr>
          <w:p w14:paraId="634EFC21" w14:textId="4B572909" w:rsidR="00B258F8" w:rsidRPr="001C710E" w:rsidRDefault="00B258F8" w:rsidP="00B258F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+1.</w:t>
            </w:r>
            <w:r w:rsidR="004D013F">
              <w:rPr>
                <w:rFonts w:ascii="Arial" w:hAnsi="Arial" w:cs="Arial"/>
                <w:bCs/>
                <w:color w:val="000000"/>
                <w:sz w:val="18"/>
                <w:szCs w:val="18"/>
              </w:rPr>
              <w:t>4</w:t>
            </w:r>
            <w:r w:rsidRPr="000E7473">
              <w:rPr>
                <w:rFonts w:ascii="Arial" w:hAnsi="Arial" w:cs="Arial"/>
                <w:bCs/>
                <w:color w:val="000000"/>
                <w:sz w:val="18"/>
                <w:szCs w:val="18"/>
              </w:rPr>
              <w:t>%</w:t>
            </w:r>
          </w:p>
        </w:tc>
        <w:tc>
          <w:tcPr>
            <w:tcW w:w="973" w:type="dxa"/>
            <w:shd w:val="clear" w:color="auto" w:fill="D9D9D9" w:themeFill="background1" w:themeFillShade="D9"/>
          </w:tcPr>
          <w:p w14:paraId="682B659D" w14:textId="21A8258C" w:rsidR="00B258F8" w:rsidRPr="001C710E" w:rsidRDefault="00B258F8" w:rsidP="00B258F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w:t>
            </w:r>
            <w:r w:rsidR="004D013F">
              <w:rPr>
                <w:rFonts w:ascii="Arial" w:hAnsi="Arial" w:cs="Arial"/>
                <w:bCs/>
                <w:color w:val="000000"/>
                <w:sz w:val="18"/>
                <w:szCs w:val="18"/>
              </w:rPr>
              <w:t>6</w:t>
            </w:r>
            <w:r w:rsidRPr="009E5E77">
              <w:rPr>
                <w:rFonts w:ascii="Arial" w:hAnsi="Arial" w:cs="Arial"/>
                <w:bCs/>
                <w:color w:val="000000"/>
                <w:sz w:val="18"/>
                <w:szCs w:val="18"/>
              </w:rPr>
              <w:t>%</w:t>
            </w:r>
          </w:p>
        </w:tc>
      </w:tr>
      <w:tr w:rsidR="00B258F8" w:rsidRPr="001C710E" w14:paraId="6B623256" w14:textId="77777777" w:rsidTr="0035108F">
        <w:trPr>
          <w:trHeight w:val="113"/>
        </w:trPr>
        <w:tc>
          <w:tcPr>
            <w:cnfStyle w:val="001000000000" w:firstRow="0" w:lastRow="0" w:firstColumn="1" w:lastColumn="0" w:oddVBand="0" w:evenVBand="0" w:oddHBand="0" w:evenHBand="0" w:firstRowFirstColumn="0" w:firstRowLastColumn="0" w:lastRowFirstColumn="0" w:lastRowLastColumn="0"/>
            <w:tcW w:w="2070" w:type="dxa"/>
            <w:noWrap/>
            <w:vAlign w:val="center"/>
          </w:tcPr>
          <w:p w14:paraId="0D7C2236" w14:textId="482E14F8" w:rsidR="00B258F8" w:rsidRPr="000A3117" w:rsidRDefault="00B258F8" w:rsidP="00B258F8">
            <w:pPr>
              <w:rPr>
                <w:rFonts w:ascii="Arial" w:eastAsia="Times New Roman" w:hAnsi="Arial" w:cs="Arial"/>
                <w:b w:val="0"/>
                <w:bCs w:val="0"/>
                <w:color w:val="000000" w:themeColor="text1"/>
                <w:sz w:val="18"/>
                <w:szCs w:val="18"/>
                <w:highlight w:val="yellow"/>
              </w:rPr>
            </w:pPr>
            <w:r w:rsidRPr="000B0F9C">
              <w:rPr>
                <w:rFonts w:ascii="Arial" w:eastAsia="Times New Roman" w:hAnsi="Arial" w:cs="Arial"/>
                <w:b w:val="0"/>
                <w:bCs w:val="0"/>
                <w:color w:val="000000" w:themeColor="text1"/>
                <w:sz w:val="18"/>
                <w:szCs w:val="18"/>
              </w:rPr>
              <w:t>Shelf-stable seafood</w:t>
            </w:r>
          </w:p>
        </w:tc>
        <w:tc>
          <w:tcPr>
            <w:tcW w:w="810" w:type="dxa"/>
          </w:tcPr>
          <w:p w14:paraId="6E39380C" w14:textId="650B1D51" w:rsidR="00B258F8" w:rsidRPr="001C710E" w:rsidRDefault="00B258F8" w:rsidP="00B258F8">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4D013F">
              <w:rPr>
                <w:rFonts w:ascii="Arial" w:hAnsi="Arial" w:cs="Arial"/>
                <w:bCs/>
                <w:color w:val="000000" w:themeColor="text1"/>
                <w:sz w:val="18"/>
                <w:szCs w:val="18"/>
              </w:rPr>
              <w:t>262</w:t>
            </w:r>
            <w:r>
              <w:rPr>
                <w:rFonts w:ascii="Arial" w:hAnsi="Arial" w:cs="Arial"/>
                <w:bCs/>
                <w:color w:val="000000" w:themeColor="text1"/>
                <w:sz w:val="18"/>
                <w:szCs w:val="18"/>
              </w:rPr>
              <w:t>M</w:t>
            </w:r>
          </w:p>
        </w:tc>
        <w:tc>
          <w:tcPr>
            <w:tcW w:w="853" w:type="dxa"/>
          </w:tcPr>
          <w:p w14:paraId="24281AAC" w14:textId="0E90721F" w:rsidR="00B258F8" w:rsidRPr="001C710E" w:rsidRDefault="00B258F8" w:rsidP="00B258F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w:t>
            </w:r>
            <w:r w:rsidR="004D013F">
              <w:rPr>
                <w:rFonts w:ascii="Arial" w:hAnsi="Arial" w:cs="Arial"/>
                <w:bCs/>
                <w:color w:val="000000" w:themeColor="text1"/>
                <w:sz w:val="18"/>
                <w:szCs w:val="18"/>
              </w:rPr>
              <w:t>2.2</w:t>
            </w:r>
            <w:r w:rsidRPr="00DC78A5">
              <w:rPr>
                <w:rFonts w:ascii="Arial" w:hAnsi="Arial" w:cs="Arial"/>
                <w:bCs/>
                <w:color w:val="000000" w:themeColor="text1"/>
                <w:sz w:val="18"/>
                <w:szCs w:val="18"/>
              </w:rPr>
              <w:t>%</w:t>
            </w:r>
          </w:p>
        </w:tc>
        <w:tc>
          <w:tcPr>
            <w:tcW w:w="913" w:type="dxa"/>
          </w:tcPr>
          <w:p w14:paraId="31940B22" w14:textId="4AB30B53" w:rsidR="00B258F8" w:rsidRPr="001C710E" w:rsidRDefault="00B258F8" w:rsidP="00B258F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4D013F">
              <w:rPr>
                <w:rFonts w:ascii="Arial" w:hAnsi="Arial" w:cs="Arial"/>
                <w:bCs/>
                <w:color w:val="000000"/>
                <w:sz w:val="18"/>
                <w:szCs w:val="18"/>
              </w:rPr>
              <w:t>5.0</w:t>
            </w:r>
            <w:r w:rsidRPr="000E7473">
              <w:rPr>
                <w:rFonts w:ascii="Arial" w:hAnsi="Arial" w:cs="Arial"/>
                <w:bCs/>
                <w:color w:val="000000"/>
                <w:sz w:val="18"/>
                <w:szCs w:val="18"/>
              </w:rPr>
              <w:t>%</w:t>
            </w:r>
          </w:p>
        </w:tc>
        <w:tc>
          <w:tcPr>
            <w:tcW w:w="883" w:type="dxa"/>
          </w:tcPr>
          <w:p w14:paraId="177BD83E" w14:textId="02D30081" w:rsidR="00B258F8" w:rsidRPr="001C710E" w:rsidRDefault="00B258F8" w:rsidP="00B258F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4D013F">
              <w:rPr>
                <w:rFonts w:ascii="Arial" w:hAnsi="Arial" w:cs="Arial"/>
                <w:bCs/>
                <w:color w:val="000000"/>
                <w:sz w:val="18"/>
                <w:szCs w:val="18"/>
              </w:rPr>
              <w:t>3.1</w:t>
            </w:r>
            <w:r w:rsidRPr="000E7473">
              <w:rPr>
                <w:rFonts w:ascii="Arial" w:hAnsi="Arial" w:cs="Arial"/>
                <w:bCs/>
                <w:color w:val="000000"/>
                <w:sz w:val="18"/>
                <w:szCs w:val="18"/>
              </w:rPr>
              <w:t>%</w:t>
            </w:r>
          </w:p>
        </w:tc>
        <w:tc>
          <w:tcPr>
            <w:tcW w:w="882" w:type="dxa"/>
            <w:tcBorders>
              <w:right w:val="single" w:sz="4" w:space="0" w:color="31849B" w:themeColor="accent5" w:themeShade="BF"/>
            </w:tcBorders>
          </w:tcPr>
          <w:p w14:paraId="0523818B" w14:textId="0871D514" w:rsidR="00B258F8" w:rsidRPr="001C710E" w:rsidRDefault="00B258F8" w:rsidP="00B258F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4D013F">
              <w:rPr>
                <w:rFonts w:ascii="Arial" w:hAnsi="Arial" w:cs="Arial"/>
                <w:bCs/>
                <w:color w:val="000000"/>
                <w:sz w:val="18"/>
                <w:szCs w:val="18"/>
              </w:rPr>
              <w:t>8.5</w:t>
            </w:r>
            <w:r w:rsidRPr="009E5E77">
              <w:rPr>
                <w:rFonts w:ascii="Arial" w:hAnsi="Arial" w:cs="Arial"/>
                <w:bCs/>
                <w:color w:val="000000"/>
                <w:sz w:val="18"/>
                <w:szCs w:val="18"/>
              </w:rPr>
              <w:t>%</w:t>
            </w:r>
          </w:p>
        </w:tc>
        <w:tc>
          <w:tcPr>
            <w:tcW w:w="973" w:type="dxa"/>
            <w:tcBorders>
              <w:left w:val="single" w:sz="4" w:space="0" w:color="31849B" w:themeColor="accent5" w:themeShade="BF"/>
            </w:tcBorders>
          </w:tcPr>
          <w:p w14:paraId="3E2D5BC2" w14:textId="21C214F1" w:rsidR="00B258F8" w:rsidRPr="001C710E" w:rsidRDefault="00B258F8" w:rsidP="00B258F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w:t>
            </w:r>
            <w:r w:rsidR="004D013F">
              <w:rPr>
                <w:rFonts w:ascii="Arial" w:hAnsi="Arial" w:cs="Arial"/>
                <w:bCs/>
                <w:color w:val="000000" w:themeColor="text1"/>
                <w:sz w:val="18"/>
                <w:szCs w:val="18"/>
              </w:rPr>
              <w:t>9</w:t>
            </w:r>
            <w:r w:rsidRPr="00DC78A5">
              <w:rPr>
                <w:rFonts w:ascii="Arial" w:hAnsi="Arial" w:cs="Arial"/>
                <w:bCs/>
                <w:color w:val="000000" w:themeColor="text1"/>
                <w:sz w:val="18"/>
                <w:szCs w:val="18"/>
              </w:rPr>
              <w:t>%</w:t>
            </w:r>
          </w:p>
        </w:tc>
        <w:tc>
          <w:tcPr>
            <w:tcW w:w="973" w:type="dxa"/>
          </w:tcPr>
          <w:p w14:paraId="6D25E609" w14:textId="73EF3CF1" w:rsidR="00B258F8" w:rsidRPr="001C710E" w:rsidRDefault="00B258F8" w:rsidP="00B258F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w:t>
            </w:r>
            <w:r w:rsidR="004D013F">
              <w:rPr>
                <w:rFonts w:ascii="Arial" w:hAnsi="Arial" w:cs="Arial"/>
                <w:bCs/>
                <w:color w:val="000000"/>
                <w:sz w:val="18"/>
                <w:szCs w:val="18"/>
              </w:rPr>
              <w:t>8</w:t>
            </w:r>
            <w:r w:rsidRPr="000E7473">
              <w:rPr>
                <w:rFonts w:ascii="Arial" w:hAnsi="Arial" w:cs="Arial"/>
                <w:bCs/>
                <w:color w:val="000000"/>
                <w:sz w:val="18"/>
                <w:szCs w:val="18"/>
              </w:rPr>
              <w:t>%</w:t>
            </w:r>
          </w:p>
        </w:tc>
        <w:tc>
          <w:tcPr>
            <w:tcW w:w="973" w:type="dxa"/>
          </w:tcPr>
          <w:p w14:paraId="61F6C8D3" w14:textId="2DB1229F" w:rsidR="00B258F8" w:rsidRPr="001C710E" w:rsidRDefault="00B258F8" w:rsidP="00B258F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+5.</w:t>
            </w:r>
            <w:r w:rsidR="004D013F">
              <w:rPr>
                <w:rFonts w:ascii="Arial" w:hAnsi="Arial" w:cs="Arial"/>
                <w:bCs/>
                <w:color w:val="000000"/>
                <w:sz w:val="18"/>
                <w:szCs w:val="18"/>
              </w:rPr>
              <w:t>6</w:t>
            </w:r>
            <w:r w:rsidRPr="000E7473">
              <w:rPr>
                <w:rFonts w:ascii="Arial" w:hAnsi="Arial" w:cs="Arial"/>
                <w:bCs/>
                <w:color w:val="000000"/>
                <w:sz w:val="18"/>
                <w:szCs w:val="18"/>
              </w:rPr>
              <w:t>%</w:t>
            </w:r>
          </w:p>
        </w:tc>
        <w:tc>
          <w:tcPr>
            <w:tcW w:w="973" w:type="dxa"/>
          </w:tcPr>
          <w:p w14:paraId="538333AC" w14:textId="3876A57B" w:rsidR="00B258F8" w:rsidRPr="001C710E" w:rsidRDefault="00B258F8" w:rsidP="00B258F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4D013F">
              <w:rPr>
                <w:rFonts w:ascii="Arial" w:hAnsi="Arial" w:cs="Arial"/>
                <w:bCs/>
                <w:color w:val="000000"/>
                <w:sz w:val="18"/>
                <w:szCs w:val="18"/>
              </w:rPr>
              <w:t>5.5</w:t>
            </w:r>
            <w:r w:rsidRPr="009E5E77">
              <w:rPr>
                <w:rFonts w:ascii="Arial" w:hAnsi="Arial" w:cs="Arial"/>
                <w:bCs/>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proofErr w:type="spellStart"/>
      <w:r w:rsidR="007A44BE">
        <w:rPr>
          <w:rFonts w:ascii="Arial" w:hAnsi="Arial" w:cs="Arial"/>
          <w:color w:val="7F7F7F" w:themeColor="text1" w:themeTint="80"/>
          <w:sz w:val="16"/>
          <w:szCs w:val="16"/>
        </w:rPr>
        <w:t>Circana</w:t>
      </w:r>
      <w:proofErr w:type="spellEnd"/>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54C05C0C" w:rsidR="00A94364" w:rsidRDefault="003F2537" w:rsidP="00456776">
      <w:pPr>
        <w:pStyle w:val="NoSpacing"/>
        <w:ind w:right="11"/>
        <w:rPr>
          <w:rFonts w:ascii="Arial" w:hAnsi="Arial" w:cs="Arial"/>
          <w:sz w:val="20"/>
        </w:rPr>
      </w:pPr>
      <w:r>
        <w:rPr>
          <w:rFonts w:ascii="Arial" w:hAnsi="Arial" w:cs="Arial"/>
          <w:sz w:val="20"/>
        </w:rPr>
        <w:t>Seafood</w:t>
      </w:r>
      <w:r w:rsidR="006F697A">
        <w:rPr>
          <w:rFonts w:ascii="Arial" w:hAnsi="Arial" w:cs="Arial"/>
          <w:sz w:val="20"/>
        </w:rPr>
        <w:t xml:space="preserve"> </w:t>
      </w:r>
      <w:r w:rsidR="00E85751">
        <w:rPr>
          <w:rFonts w:ascii="Arial" w:hAnsi="Arial" w:cs="Arial"/>
          <w:sz w:val="20"/>
        </w:rPr>
        <w:t>c</w:t>
      </w:r>
      <w:r w:rsidR="00685A53">
        <w:rPr>
          <w:rFonts w:ascii="Arial" w:hAnsi="Arial" w:cs="Arial"/>
          <w:sz w:val="20"/>
        </w:rPr>
        <w:t>ans and pouches</w:t>
      </w:r>
      <w:r w:rsidR="000B0F9C">
        <w:rPr>
          <w:rFonts w:ascii="Arial" w:hAnsi="Arial" w:cs="Arial"/>
          <w:sz w:val="20"/>
        </w:rPr>
        <w:t xml:space="preserve"> generated </w:t>
      </w:r>
      <w:r w:rsidR="00685A53">
        <w:rPr>
          <w:rFonts w:ascii="Arial" w:hAnsi="Arial" w:cs="Arial"/>
          <w:sz w:val="20"/>
        </w:rPr>
        <w:t>$</w:t>
      </w:r>
      <w:r w:rsidR="000B0F9C">
        <w:rPr>
          <w:rFonts w:ascii="Arial" w:hAnsi="Arial" w:cs="Arial"/>
          <w:sz w:val="20"/>
        </w:rPr>
        <w:t>2</w:t>
      </w:r>
      <w:r w:rsidR="00E85751">
        <w:rPr>
          <w:rFonts w:ascii="Arial" w:hAnsi="Arial" w:cs="Arial"/>
          <w:sz w:val="20"/>
        </w:rPr>
        <w:t>6</w:t>
      </w:r>
      <w:r>
        <w:rPr>
          <w:rFonts w:ascii="Arial" w:hAnsi="Arial" w:cs="Arial"/>
          <w:sz w:val="20"/>
        </w:rPr>
        <w:t>2</w:t>
      </w:r>
      <w:r w:rsidR="00685A53">
        <w:rPr>
          <w:rFonts w:ascii="Arial" w:hAnsi="Arial" w:cs="Arial"/>
          <w:sz w:val="20"/>
        </w:rPr>
        <w:t xml:space="preserve"> million</w:t>
      </w:r>
      <w:r w:rsidR="000B0F9C">
        <w:rPr>
          <w:rFonts w:ascii="Arial" w:hAnsi="Arial" w:cs="Arial"/>
          <w:sz w:val="20"/>
        </w:rPr>
        <w:t xml:space="preserve"> in </w:t>
      </w:r>
      <w:r w:rsidR="00CD7E54">
        <w:rPr>
          <w:rFonts w:ascii="Arial" w:hAnsi="Arial" w:cs="Arial"/>
          <w:sz w:val="20"/>
        </w:rPr>
        <w:t>June 2025</w:t>
      </w:r>
      <w:r w:rsidR="00E85751">
        <w:rPr>
          <w:rFonts w:ascii="Arial" w:hAnsi="Arial" w:cs="Arial"/>
          <w:sz w:val="20"/>
        </w:rPr>
        <w:t xml:space="preserve">. This </w:t>
      </w:r>
      <w:r w:rsidR="000B0F9C">
        <w:rPr>
          <w:rFonts w:ascii="Arial" w:hAnsi="Arial" w:cs="Arial"/>
          <w:sz w:val="20"/>
        </w:rPr>
        <w:t xml:space="preserve">reflects a </w:t>
      </w:r>
      <w:r>
        <w:rPr>
          <w:rFonts w:ascii="Arial" w:hAnsi="Arial" w:cs="Arial"/>
          <w:sz w:val="20"/>
        </w:rPr>
        <w:t>2.2</w:t>
      </w:r>
      <w:r w:rsidR="000B0F9C">
        <w:rPr>
          <w:rFonts w:ascii="Arial" w:hAnsi="Arial" w:cs="Arial"/>
          <w:sz w:val="20"/>
        </w:rPr>
        <w:t xml:space="preserve">% increase in dollar sales and </w:t>
      </w:r>
      <w:r>
        <w:rPr>
          <w:rFonts w:ascii="Arial" w:hAnsi="Arial" w:cs="Arial"/>
          <w:sz w:val="20"/>
        </w:rPr>
        <w:t>1.5</w:t>
      </w:r>
      <w:r w:rsidR="000B0F9C">
        <w:rPr>
          <w:rFonts w:ascii="Arial" w:hAnsi="Arial" w:cs="Arial"/>
          <w:sz w:val="20"/>
        </w:rPr>
        <w:t>% increase in unit sales.</w:t>
      </w:r>
      <w:r>
        <w:rPr>
          <w:rFonts w:ascii="Arial" w:hAnsi="Arial" w:cs="Arial"/>
          <w:sz w:val="20"/>
        </w:rPr>
        <w:t xml:space="preserve"> Tuna was easily the biggest contributor to sales, but the growth rate of sardines is remarkable. In fact, canned sardine sales have overtaken canned sal</w:t>
      </w:r>
      <w:r w:rsidR="002F1A5A">
        <w:rPr>
          <w:rFonts w:ascii="Arial" w:hAnsi="Arial" w:cs="Arial"/>
          <w:sz w:val="20"/>
        </w:rPr>
        <w:t>m</w:t>
      </w:r>
      <w:r>
        <w:rPr>
          <w:rFonts w:ascii="Arial" w:hAnsi="Arial" w:cs="Arial"/>
          <w:sz w:val="20"/>
        </w:rPr>
        <w:t>on as the number two seller behind tuna in both the monthly and annual views</w:t>
      </w:r>
      <w:r w:rsidR="006F697A" w:rsidRPr="006F697A">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853F3"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853F3" w:rsidRPr="00AD60E2" w:rsidRDefault="00C853F3" w:rsidP="00C853F3">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0A354B0C" w:rsidR="00C853F3" w:rsidRPr="00AD60E2" w:rsidRDefault="00CD7E54"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 2025</w:t>
            </w:r>
          </w:p>
        </w:tc>
        <w:tc>
          <w:tcPr>
            <w:tcW w:w="4410" w:type="dxa"/>
            <w:gridSpan w:val="3"/>
            <w:tcBorders>
              <w:bottom w:val="none" w:sz="0" w:space="0" w:color="auto"/>
            </w:tcBorders>
            <w:shd w:val="clear" w:color="auto" w:fill="17365D" w:themeFill="text2" w:themeFillShade="BF"/>
          </w:tcPr>
          <w:p w14:paraId="62716401" w14:textId="30CF5C67" w:rsidR="00C853F3" w:rsidRPr="00AD60E2"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293CE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3F2537" w:rsidRPr="00AD60E2" w14:paraId="11367CFE" w14:textId="77777777" w:rsidTr="003F2537">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3F2537" w:rsidRPr="003F2537" w:rsidRDefault="003F2537" w:rsidP="003F2537">
            <w:pPr>
              <w:pStyle w:val="NoSpacing"/>
              <w:rPr>
                <w:rFonts w:ascii="Arial" w:hAnsi="Arial" w:cs="Arial"/>
                <w:bCs w:val="0"/>
                <w:sz w:val="18"/>
                <w:szCs w:val="18"/>
              </w:rPr>
            </w:pPr>
            <w:r w:rsidRPr="003F2537">
              <w:rPr>
                <w:rFonts w:ascii="Arial" w:eastAsia="Times New Roman" w:hAnsi="Arial" w:cs="Arial"/>
                <w:bCs w:val="0"/>
                <w:sz w:val="18"/>
                <w:szCs w:val="18"/>
              </w:rPr>
              <w:t>Ambient seafood</w:t>
            </w:r>
          </w:p>
        </w:tc>
        <w:tc>
          <w:tcPr>
            <w:tcW w:w="1485" w:type="dxa"/>
            <w:vAlign w:val="center"/>
          </w:tcPr>
          <w:p w14:paraId="13FD707B" w14:textId="00364FCD"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F2537">
              <w:rPr>
                <w:rFonts w:ascii="Arial" w:hAnsi="Arial" w:cs="Arial"/>
                <w:color w:val="000000"/>
                <w:sz w:val="18"/>
                <w:szCs w:val="18"/>
              </w:rPr>
              <w:t>$261.8M</w:t>
            </w:r>
          </w:p>
        </w:tc>
        <w:tc>
          <w:tcPr>
            <w:tcW w:w="1485" w:type="dxa"/>
            <w:vAlign w:val="center"/>
          </w:tcPr>
          <w:p w14:paraId="7CD0CA5D" w14:textId="52B88FF7"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F2537">
              <w:rPr>
                <w:rFonts w:ascii="Arial" w:hAnsi="Arial" w:cs="Arial"/>
                <w:color w:val="000000"/>
                <w:sz w:val="18"/>
                <w:szCs w:val="18"/>
              </w:rPr>
              <w:t>+2.2%</w:t>
            </w:r>
          </w:p>
        </w:tc>
        <w:tc>
          <w:tcPr>
            <w:tcW w:w="1485" w:type="dxa"/>
            <w:tcBorders>
              <w:right w:val="single" w:sz="4" w:space="0" w:color="31849B" w:themeColor="accent5" w:themeShade="BF"/>
            </w:tcBorders>
            <w:vAlign w:val="center"/>
          </w:tcPr>
          <w:p w14:paraId="70F04E03" w14:textId="5889351B"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F2537">
              <w:rPr>
                <w:rFonts w:ascii="Arial" w:hAnsi="Arial" w:cs="Arial"/>
                <w:color w:val="000000"/>
                <w:sz w:val="18"/>
                <w:szCs w:val="18"/>
              </w:rPr>
              <w:t>+1.5%</w:t>
            </w:r>
          </w:p>
        </w:tc>
        <w:tc>
          <w:tcPr>
            <w:tcW w:w="1485" w:type="dxa"/>
            <w:gridSpan w:val="2"/>
            <w:tcBorders>
              <w:left w:val="single" w:sz="4" w:space="0" w:color="31849B" w:themeColor="accent5" w:themeShade="BF"/>
            </w:tcBorders>
            <w:vAlign w:val="center"/>
          </w:tcPr>
          <w:p w14:paraId="4DEDCF96" w14:textId="5420796C"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F2537">
              <w:rPr>
                <w:rFonts w:ascii="Arial" w:hAnsi="Arial" w:cs="Arial"/>
                <w:color w:val="000000"/>
                <w:sz w:val="18"/>
                <w:szCs w:val="18"/>
              </w:rPr>
              <w:t>$3.3B</w:t>
            </w:r>
          </w:p>
        </w:tc>
        <w:tc>
          <w:tcPr>
            <w:tcW w:w="1485" w:type="dxa"/>
            <w:vAlign w:val="center"/>
          </w:tcPr>
          <w:p w14:paraId="37418921" w14:textId="7D3739C0"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F2537">
              <w:rPr>
                <w:rFonts w:ascii="Arial" w:hAnsi="Arial" w:cs="Arial"/>
                <w:color w:val="000000"/>
                <w:sz w:val="18"/>
                <w:szCs w:val="18"/>
              </w:rPr>
              <w:t>+1.9%</w:t>
            </w:r>
          </w:p>
        </w:tc>
        <w:tc>
          <w:tcPr>
            <w:tcW w:w="1485" w:type="dxa"/>
            <w:vAlign w:val="center"/>
          </w:tcPr>
          <w:p w14:paraId="68369672" w14:textId="7010AC10"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F2537">
              <w:rPr>
                <w:rFonts w:ascii="Arial" w:hAnsi="Arial" w:cs="Arial"/>
                <w:color w:val="000000"/>
                <w:sz w:val="18"/>
                <w:szCs w:val="18"/>
              </w:rPr>
              <w:t>+3.8%</w:t>
            </w:r>
          </w:p>
        </w:tc>
      </w:tr>
      <w:tr w:rsidR="003F2537" w:rsidRPr="00AD60E2" w14:paraId="5340B729" w14:textId="77777777" w:rsidTr="003F253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3F2537" w:rsidRPr="003F2537" w:rsidRDefault="003F2537" w:rsidP="003F2537">
            <w:pPr>
              <w:pStyle w:val="NoSpacing"/>
              <w:rPr>
                <w:rFonts w:ascii="Arial" w:hAnsi="Arial" w:cs="Arial"/>
                <w:b w:val="0"/>
                <w:bCs w:val="0"/>
                <w:sz w:val="18"/>
                <w:szCs w:val="18"/>
              </w:rPr>
            </w:pPr>
            <w:r w:rsidRPr="003F2537">
              <w:rPr>
                <w:rFonts w:ascii="Arial" w:eastAsia="Times New Roman" w:hAnsi="Arial" w:cs="Arial"/>
                <w:b w:val="0"/>
                <w:sz w:val="18"/>
                <w:szCs w:val="18"/>
              </w:rPr>
              <w:t>Ambient tuna</w:t>
            </w:r>
          </w:p>
        </w:tc>
        <w:tc>
          <w:tcPr>
            <w:tcW w:w="1485" w:type="dxa"/>
            <w:vAlign w:val="center"/>
          </w:tcPr>
          <w:p w14:paraId="467B2EF3" w14:textId="53CE0143"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$191.9M</w:t>
            </w:r>
          </w:p>
        </w:tc>
        <w:tc>
          <w:tcPr>
            <w:tcW w:w="1485" w:type="dxa"/>
            <w:vAlign w:val="center"/>
          </w:tcPr>
          <w:p w14:paraId="7EC4F086" w14:textId="0D77C735"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+0.7%</w:t>
            </w:r>
          </w:p>
        </w:tc>
        <w:tc>
          <w:tcPr>
            <w:tcW w:w="1485" w:type="dxa"/>
            <w:tcBorders>
              <w:right w:val="single" w:sz="4" w:space="0" w:color="31849B" w:themeColor="accent5" w:themeShade="BF"/>
            </w:tcBorders>
            <w:vAlign w:val="center"/>
          </w:tcPr>
          <w:p w14:paraId="644C331F" w14:textId="22C72AD9"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+0.8%</w:t>
            </w:r>
          </w:p>
        </w:tc>
        <w:tc>
          <w:tcPr>
            <w:tcW w:w="1485" w:type="dxa"/>
            <w:gridSpan w:val="2"/>
            <w:tcBorders>
              <w:left w:val="single" w:sz="4" w:space="0" w:color="31849B" w:themeColor="accent5" w:themeShade="BF"/>
            </w:tcBorders>
            <w:vAlign w:val="center"/>
          </w:tcPr>
          <w:p w14:paraId="5A522292" w14:textId="7A3EDD9E"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$2.4B</w:t>
            </w:r>
          </w:p>
        </w:tc>
        <w:tc>
          <w:tcPr>
            <w:tcW w:w="1485" w:type="dxa"/>
            <w:vAlign w:val="center"/>
          </w:tcPr>
          <w:p w14:paraId="1C0533FA" w14:textId="4AAF88F7"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+1.5%</w:t>
            </w:r>
          </w:p>
        </w:tc>
        <w:tc>
          <w:tcPr>
            <w:tcW w:w="1485" w:type="dxa"/>
            <w:vAlign w:val="center"/>
          </w:tcPr>
          <w:p w14:paraId="0EA7B7BE" w14:textId="4AA5CE4F"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+3.8%</w:t>
            </w:r>
          </w:p>
        </w:tc>
      </w:tr>
      <w:tr w:rsidR="003F2537" w:rsidRPr="00AD60E2" w14:paraId="74D7EA47" w14:textId="77777777" w:rsidTr="003F2537">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3F2537" w:rsidRPr="003F2537" w:rsidRDefault="003F2537" w:rsidP="003F2537">
            <w:pPr>
              <w:pStyle w:val="NoSpacing"/>
              <w:rPr>
                <w:rFonts w:ascii="Arial" w:hAnsi="Arial" w:cs="Arial"/>
                <w:b w:val="0"/>
                <w:bCs w:val="0"/>
                <w:sz w:val="18"/>
                <w:szCs w:val="18"/>
              </w:rPr>
            </w:pPr>
            <w:r w:rsidRPr="003F2537">
              <w:rPr>
                <w:rFonts w:ascii="Arial" w:eastAsia="Times New Roman" w:hAnsi="Arial" w:cs="Arial"/>
                <w:b w:val="0"/>
                <w:sz w:val="18"/>
                <w:szCs w:val="18"/>
              </w:rPr>
              <w:t>Ambient sardines</w:t>
            </w:r>
          </w:p>
        </w:tc>
        <w:tc>
          <w:tcPr>
            <w:tcW w:w="1485" w:type="dxa"/>
            <w:vAlign w:val="center"/>
          </w:tcPr>
          <w:p w14:paraId="69E554BA" w14:textId="1B9E5663"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$25.3M</w:t>
            </w:r>
          </w:p>
        </w:tc>
        <w:tc>
          <w:tcPr>
            <w:tcW w:w="1485" w:type="dxa"/>
            <w:vAlign w:val="center"/>
          </w:tcPr>
          <w:p w14:paraId="1DF057C9" w14:textId="4721F2E0"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+21.0%</w:t>
            </w:r>
          </w:p>
        </w:tc>
        <w:tc>
          <w:tcPr>
            <w:tcW w:w="1485" w:type="dxa"/>
            <w:tcBorders>
              <w:right w:val="single" w:sz="4" w:space="0" w:color="31849B" w:themeColor="accent5" w:themeShade="BF"/>
            </w:tcBorders>
            <w:vAlign w:val="center"/>
          </w:tcPr>
          <w:p w14:paraId="2864894C" w14:textId="4DC378BC"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+8.6%</w:t>
            </w:r>
          </w:p>
        </w:tc>
        <w:tc>
          <w:tcPr>
            <w:tcW w:w="1485" w:type="dxa"/>
            <w:gridSpan w:val="2"/>
            <w:tcBorders>
              <w:left w:val="single" w:sz="4" w:space="0" w:color="31849B" w:themeColor="accent5" w:themeShade="BF"/>
            </w:tcBorders>
            <w:vAlign w:val="center"/>
          </w:tcPr>
          <w:p w14:paraId="33F3E2D4" w14:textId="1674CB5E"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$318M</w:t>
            </w:r>
          </w:p>
        </w:tc>
        <w:tc>
          <w:tcPr>
            <w:tcW w:w="1485" w:type="dxa"/>
            <w:vAlign w:val="center"/>
          </w:tcPr>
          <w:p w14:paraId="2E51BE07" w14:textId="4B263C47"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+15.9%</w:t>
            </w:r>
          </w:p>
        </w:tc>
        <w:tc>
          <w:tcPr>
            <w:tcW w:w="1485" w:type="dxa"/>
            <w:vAlign w:val="center"/>
          </w:tcPr>
          <w:p w14:paraId="10F3D24F" w14:textId="55E88723"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+8.2%</w:t>
            </w:r>
          </w:p>
        </w:tc>
      </w:tr>
      <w:tr w:rsidR="003F2537" w:rsidRPr="00AD60E2" w14:paraId="0A870DB6" w14:textId="77777777" w:rsidTr="003F253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3F2537" w:rsidRPr="003F2537" w:rsidRDefault="003F2537" w:rsidP="003F2537">
            <w:pPr>
              <w:pStyle w:val="NoSpacing"/>
              <w:rPr>
                <w:rFonts w:ascii="Arial" w:hAnsi="Arial" w:cs="Arial"/>
                <w:b w:val="0"/>
                <w:bCs w:val="0"/>
                <w:sz w:val="18"/>
                <w:szCs w:val="18"/>
              </w:rPr>
            </w:pPr>
            <w:r w:rsidRPr="003F2537">
              <w:rPr>
                <w:rFonts w:ascii="Arial" w:eastAsia="Times New Roman" w:hAnsi="Arial" w:cs="Arial"/>
                <w:b w:val="0"/>
                <w:sz w:val="18"/>
                <w:szCs w:val="18"/>
              </w:rPr>
              <w:t>Ambient salmon</w:t>
            </w:r>
          </w:p>
        </w:tc>
        <w:tc>
          <w:tcPr>
            <w:tcW w:w="1485" w:type="dxa"/>
            <w:vAlign w:val="center"/>
          </w:tcPr>
          <w:p w14:paraId="2A2643AA" w14:textId="6DC79E17"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$22.8M</w:t>
            </w:r>
          </w:p>
        </w:tc>
        <w:tc>
          <w:tcPr>
            <w:tcW w:w="1485" w:type="dxa"/>
            <w:vAlign w:val="center"/>
          </w:tcPr>
          <w:p w14:paraId="18FEA342" w14:textId="7C6F652C"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+7.4%</w:t>
            </w:r>
          </w:p>
        </w:tc>
        <w:tc>
          <w:tcPr>
            <w:tcW w:w="1485" w:type="dxa"/>
            <w:tcBorders>
              <w:right w:val="single" w:sz="4" w:space="0" w:color="31849B" w:themeColor="accent5" w:themeShade="BF"/>
            </w:tcBorders>
            <w:vAlign w:val="center"/>
          </w:tcPr>
          <w:p w14:paraId="7BC9CDED" w14:textId="5EFB9D16"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+4.6%</w:t>
            </w:r>
          </w:p>
        </w:tc>
        <w:tc>
          <w:tcPr>
            <w:tcW w:w="1485" w:type="dxa"/>
            <w:gridSpan w:val="2"/>
            <w:tcBorders>
              <w:left w:val="single" w:sz="4" w:space="0" w:color="31849B" w:themeColor="accent5" w:themeShade="BF"/>
            </w:tcBorders>
            <w:vAlign w:val="center"/>
          </w:tcPr>
          <w:p w14:paraId="07EDEAB9" w14:textId="1F2B925B"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$291M</w:t>
            </w:r>
          </w:p>
        </w:tc>
        <w:tc>
          <w:tcPr>
            <w:tcW w:w="1485" w:type="dxa"/>
            <w:vAlign w:val="center"/>
          </w:tcPr>
          <w:p w14:paraId="4D5264CB" w14:textId="14E353C0"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+2.3%</w:t>
            </w:r>
          </w:p>
        </w:tc>
        <w:tc>
          <w:tcPr>
            <w:tcW w:w="1485" w:type="dxa"/>
            <w:vAlign w:val="center"/>
          </w:tcPr>
          <w:p w14:paraId="6CF19251" w14:textId="54952CC5" w:rsidR="003F2537" w:rsidRPr="003F2537" w:rsidRDefault="003F2537" w:rsidP="003F2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+0.9%</w:t>
            </w:r>
          </w:p>
        </w:tc>
      </w:tr>
      <w:tr w:rsidR="003F2537" w:rsidRPr="00AD60E2" w14:paraId="0DCD14DB" w14:textId="77777777" w:rsidTr="003F2537">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3F2537" w:rsidRPr="003F2537" w:rsidRDefault="003F2537" w:rsidP="003F2537">
            <w:pPr>
              <w:pStyle w:val="NoSpacing"/>
              <w:rPr>
                <w:rFonts w:ascii="Arial" w:hAnsi="Arial" w:cs="Arial"/>
                <w:b w:val="0"/>
                <w:bCs w:val="0"/>
                <w:sz w:val="18"/>
                <w:szCs w:val="18"/>
              </w:rPr>
            </w:pPr>
            <w:r w:rsidRPr="003F2537">
              <w:rPr>
                <w:rFonts w:ascii="Arial" w:eastAsia="Times New Roman" w:hAnsi="Arial" w:cs="Arial"/>
                <w:b w:val="0"/>
                <w:bCs w:val="0"/>
                <w:sz w:val="18"/>
                <w:szCs w:val="18"/>
              </w:rPr>
              <w:t>Ambient all other</w:t>
            </w:r>
          </w:p>
        </w:tc>
        <w:tc>
          <w:tcPr>
            <w:tcW w:w="1485" w:type="dxa"/>
            <w:vAlign w:val="center"/>
          </w:tcPr>
          <w:p w14:paraId="6F3E0385" w14:textId="430FDDB0"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$18.0M</w:t>
            </w:r>
          </w:p>
        </w:tc>
        <w:tc>
          <w:tcPr>
            <w:tcW w:w="1485" w:type="dxa"/>
            <w:vAlign w:val="center"/>
          </w:tcPr>
          <w:p w14:paraId="3919FBA1" w14:textId="7B165CD8"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-7.8%</w:t>
            </w:r>
          </w:p>
        </w:tc>
        <w:tc>
          <w:tcPr>
            <w:tcW w:w="1485" w:type="dxa"/>
            <w:tcBorders>
              <w:right w:val="single" w:sz="4" w:space="0" w:color="31849B" w:themeColor="accent5" w:themeShade="BF"/>
            </w:tcBorders>
            <w:vAlign w:val="center"/>
          </w:tcPr>
          <w:p w14:paraId="34D72223" w14:textId="0285A96C"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3F2537">
              <w:rPr>
                <w:rFonts w:ascii="Arial" w:hAnsi="Arial" w:cs="Arial"/>
                <w:color w:val="000000"/>
                <w:sz w:val="18"/>
                <w:szCs w:val="18"/>
              </w:rPr>
              <w:t>-2.8%</w:t>
            </w:r>
          </w:p>
        </w:tc>
        <w:tc>
          <w:tcPr>
            <w:tcW w:w="1485" w:type="dxa"/>
            <w:gridSpan w:val="2"/>
            <w:tcBorders>
              <w:left w:val="single" w:sz="4" w:space="0" w:color="31849B" w:themeColor="accent5" w:themeShade="BF"/>
            </w:tcBorders>
            <w:vAlign w:val="center"/>
          </w:tcPr>
          <w:p w14:paraId="3C45599A" w14:textId="5A836143"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$263M</w:t>
            </w:r>
          </w:p>
        </w:tc>
        <w:tc>
          <w:tcPr>
            <w:tcW w:w="1485" w:type="dxa"/>
            <w:vAlign w:val="center"/>
          </w:tcPr>
          <w:p w14:paraId="4B8B4E53" w14:textId="79E90141"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-6.8%</w:t>
            </w:r>
          </w:p>
        </w:tc>
        <w:tc>
          <w:tcPr>
            <w:tcW w:w="1485" w:type="dxa"/>
            <w:vAlign w:val="center"/>
          </w:tcPr>
          <w:p w14:paraId="3A4896C7" w14:textId="4F53D3DD" w:rsidR="003F2537" w:rsidRPr="003F2537" w:rsidRDefault="003F2537" w:rsidP="003F25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537">
              <w:rPr>
                <w:rFonts w:ascii="Arial" w:hAnsi="Arial" w:cs="Arial"/>
                <w:color w:val="000000"/>
                <w:sz w:val="18"/>
                <w:szCs w:val="18"/>
              </w:rPr>
              <w:t>-0.6%</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w:t>
      </w:r>
      <w:proofErr w:type="spellStart"/>
      <w:r w:rsidR="00F15260" w:rsidRPr="00AD60E2">
        <w:rPr>
          <w:rFonts w:ascii="Arial" w:hAnsi="Arial" w:cs="Arial"/>
          <w:color w:val="7F7F7F" w:themeColor="text1" w:themeTint="80"/>
          <w:sz w:val="16"/>
          <w:szCs w:val="16"/>
        </w:rPr>
        <w:t>Circana</w:t>
      </w:r>
      <w:proofErr w:type="spellEnd"/>
      <w:r w:rsidR="00F15260" w:rsidRPr="00AD60E2">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496B2DF6" w14:textId="77777777" w:rsidR="006F697A" w:rsidRDefault="006F697A" w:rsidP="00CD6192">
      <w:pPr>
        <w:spacing w:after="0"/>
        <w:rPr>
          <w:rFonts w:ascii="Arial" w:hAnsi="Arial" w:cs="Arial"/>
          <w:b/>
          <w:color w:val="00857C"/>
          <w:sz w:val="24"/>
          <w:szCs w:val="20"/>
        </w:rPr>
      </w:pPr>
    </w:p>
    <w:p w14:paraId="78020F43" w14:textId="77E28DE9"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23F25A30" w:rsidR="001445C0" w:rsidRDefault="00DD1221"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Fresh/refrigerated seafood shows a very different June performance for finfish </w:t>
      </w:r>
      <w:r w:rsidR="005C7D0A">
        <w:rPr>
          <w:rFonts w:ascii="Arial" w:hAnsi="Arial" w:cs="Arial"/>
          <w:bCs/>
          <w:color w:val="000000" w:themeColor="text1"/>
          <w:sz w:val="20"/>
          <w:szCs w:val="16"/>
        </w:rPr>
        <w:t>versus</w:t>
      </w:r>
      <w:r>
        <w:rPr>
          <w:rFonts w:ascii="Arial" w:hAnsi="Arial" w:cs="Arial"/>
          <w:bCs/>
          <w:color w:val="000000" w:themeColor="text1"/>
          <w:sz w:val="20"/>
          <w:szCs w:val="16"/>
        </w:rPr>
        <w:t xml:space="preserve"> shellfish</w:t>
      </w:r>
      <w:r w:rsidR="00E85751">
        <w:rPr>
          <w:rFonts w:ascii="Arial" w:hAnsi="Arial" w:cs="Arial"/>
          <w:bCs/>
          <w:color w:val="000000" w:themeColor="text1"/>
          <w:sz w:val="20"/>
          <w:szCs w:val="16"/>
        </w:rPr>
        <w:t>.</w:t>
      </w:r>
      <w:r>
        <w:rPr>
          <w:rFonts w:ascii="Arial" w:hAnsi="Arial" w:cs="Arial"/>
          <w:bCs/>
          <w:color w:val="000000" w:themeColor="text1"/>
          <w:sz w:val="20"/>
          <w:szCs w:val="16"/>
        </w:rPr>
        <w:t xml:space="preserve"> Whereas finfish enjoyed robust increases in both dollars and pounds, shellfish sales continued to decline. The full-year view is very similar.</w:t>
      </w:r>
      <w:r w:rsidR="00E85751">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853F3"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853F3" w:rsidRPr="00A80540" w:rsidRDefault="00C853F3" w:rsidP="00C853F3">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6FF892EA" w:rsidR="00C853F3" w:rsidRPr="00A80540" w:rsidRDefault="00CD7E54"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5707BAD9"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DD1221">
              <w:rPr>
                <w:rFonts w:ascii="Arial" w:hAnsi="Arial" w:cs="Arial"/>
                <w:b/>
                <w:bCs/>
                <w:color w:val="FFFFFF" w:themeColor="background1"/>
                <w:sz w:val="18"/>
                <w:szCs w:val="18"/>
              </w:rPr>
              <w:t>Lbs</w:t>
            </w:r>
            <w:proofErr w:type="spellEnd"/>
            <w:r w:rsidRPr="00DD1221">
              <w:rPr>
                <w:rFonts w:ascii="Arial" w:hAnsi="Arial" w:cs="Arial"/>
                <w:b/>
                <w:bCs/>
                <w:color w:val="FFFFFF" w:themeColor="background1"/>
                <w:sz w:val="18"/>
                <w:szCs w:val="18"/>
              </w:rPr>
              <w:t xml:space="preserve">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DD1221">
              <w:rPr>
                <w:rFonts w:ascii="Arial" w:hAnsi="Arial" w:cs="Arial"/>
                <w:b/>
                <w:bCs/>
                <w:color w:val="FFFFFF" w:themeColor="background1"/>
                <w:sz w:val="18"/>
                <w:szCs w:val="18"/>
              </w:rPr>
              <w:t>Lbs</w:t>
            </w:r>
            <w:proofErr w:type="spellEnd"/>
            <w:r w:rsidRPr="00DD1221">
              <w:rPr>
                <w:rFonts w:ascii="Arial" w:hAnsi="Arial" w:cs="Arial"/>
                <w:b/>
                <w:bCs/>
                <w:color w:val="FFFFFF" w:themeColor="background1"/>
                <w:sz w:val="18"/>
                <w:szCs w:val="18"/>
              </w:rPr>
              <w:t xml:space="preserve"> vs. YA</w:t>
            </w:r>
          </w:p>
        </w:tc>
      </w:tr>
      <w:tr w:rsidR="00DD1221" w:rsidRPr="00F15260" w14:paraId="544E1763" w14:textId="77777777" w:rsidTr="00B016AE">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DD1221" w:rsidRPr="00DD1221" w:rsidRDefault="00DD1221" w:rsidP="00DD1221">
            <w:pPr>
              <w:pStyle w:val="NoSpacing"/>
              <w:rPr>
                <w:rFonts w:ascii="Arial" w:hAnsi="Arial" w:cs="Arial"/>
                <w:color w:val="000000" w:themeColor="text1"/>
                <w:sz w:val="18"/>
                <w:szCs w:val="18"/>
              </w:rPr>
            </w:pPr>
            <w:r w:rsidRPr="00DD1221">
              <w:rPr>
                <w:rFonts w:ascii="Arial" w:eastAsia="Times New Roman" w:hAnsi="Arial" w:cs="Arial"/>
                <w:color w:val="000000" w:themeColor="text1"/>
                <w:sz w:val="18"/>
                <w:szCs w:val="18"/>
              </w:rPr>
              <w:t>Total fresh seafood</w:t>
            </w:r>
          </w:p>
        </w:tc>
        <w:tc>
          <w:tcPr>
            <w:tcW w:w="1305" w:type="dxa"/>
            <w:vAlign w:val="bottom"/>
          </w:tcPr>
          <w:p w14:paraId="008C175F" w14:textId="02695878"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DD1221">
              <w:rPr>
                <w:rFonts w:ascii="Arial" w:hAnsi="Arial" w:cs="Arial"/>
                <w:color w:val="000000"/>
                <w:sz w:val="18"/>
                <w:szCs w:val="18"/>
              </w:rPr>
              <w:t>$677M</w:t>
            </w:r>
          </w:p>
        </w:tc>
        <w:tc>
          <w:tcPr>
            <w:tcW w:w="1485" w:type="dxa"/>
            <w:vAlign w:val="bottom"/>
          </w:tcPr>
          <w:p w14:paraId="19694FA3" w14:textId="2E1A7AB2"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DD1221">
              <w:rPr>
                <w:rFonts w:ascii="Arial" w:hAnsi="Arial" w:cs="Arial"/>
                <w:color w:val="000000"/>
                <w:sz w:val="18"/>
                <w:szCs w:val="18"/>
              </w:rPr>
              <w:t>+0.4%</w:t>
            </w:r>
          </w:p>
        </w:tc>
        <w:tc>
          <w:tcPr>
            <w:tcW w:w="1485" w:type="dxa"/>
            <w:gridSpan w:val="2"/>
            <w:tcBorders>
              <w:right w:val="single" w:sz="4" w:space="0" w:color="17365D" w:themeColor="text2" w:themeShade="BF"/>
            </w:tcBorders>
            <w:vAlign w:val="bottom"/>
          </w:tcPr>
          <w:p w14:paraId="7820D590" w14:textId="1460F545"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DD1221">
              <w:rPr>
                <w:rFonts w:ascii="Arial" w:hAnsi="Arial" w:cs="Arial"/>
                <w:color w:val="000000"/>
                <w:sz w:val="18"/>
                <w:szCs w:val="18"/>
              </w:rPr>
              <w:t>-1.5%</w:t>
            </w:r>
          </w:p>
        </w:tc>
        <w:tc>
          <w:tcPr>
            <w:tcW w:w="1305" w:type="dxa"/>
            <w:tcBorders>
              <w:left w:val="single" w:sz="4" w:space="0" w:color="17365D" w:themeColor="text2" w:themeShade="BF"/>
            </w:tcBorders>
            <w:vAlign w:val="bottom"/>
          </w:tcPr>
          <w:p w14:paraId="1EADE73E" w14:textId="57B1EFA6"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DD1221">
              <w:rPr>
                <w:rFonts w:ascii="Arial" w:hAnsi="Arial" w:cs="Arial"/>
                <w:color w:val="000000"/>
                <w:sz w:val="18"/>
                <w:szCs w:val="18"/>
              </w:rPr>
              <w:t>$8.5B</w:t>
            </w:r>
          </w:p>
        </w:tc>
        <w:tc>
          <w:tcPr>
            <w:tcW w:w="1665" w:type="dxa"/>
            <w:vAlign w:val="bottom"/>
          </w:tcPr>
          <w:p w14:paraId="108D0361" w14:textId="3B0F0773"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DD1221">
              <w:rPr>
                <w:rFonts w:ascii="Arial" w:hAnsi="Arial" w:cs="Arial"/>
                <w:color w:val="000000"/>
                <w:sz w:val="18"/>
                <w:szCs w:val="18"/>
              </w:rPr>
              <w:t>+0.6%</w:t>
            </w:r>
          </w:p>
        </w:tc>
        <w:tc>
          <w:tcPr>
            <w:tcW w:w="1486" w:type="dxa"/>
            <w:vAlign w:val="bottom"/>
          </w:tcPr>
          <w:p w14:paraId="0CC74927" w14:textId="6F3A0358"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DD1221">
              <w:rPr>
                <w:rFonts w:ascii="Arial" w:hAnsi="Arial" w:cs="Arial"/>
                <w:color w:val="000000"/>
                <w:sz w:val="18"/>
                <w:szCs w:val="18"/>
              </w:rPr>
              <w:t>-0.7%</w:t>
            </w:r>
          </w:p>
        </w:tc>
      </w:tr>
      <w:tr w:rsidR="00DD1221" w:rsidRPr="00F15260" w14:paraId="26343E00" w14:textId="77777777" w:rsidTr="00B016AE">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DD1221" w:rsidRPr="00DD1221" w:rsidRDefault="00DD1221" w:rsidP="00DD1221">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bottom"/>
          </w:tcPr>
          <w:p w14:paraId="1245A996" w14:textId="69C07B27"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$452M</w:t>
            </w:r>
          </w:p>
        </w:tc>
        <w:tc>
          <w:tcPr>
            <w:tcW w:w="1485" w:type="dxa"/>
            <w:shd w:val="clear" w:color="auto" w:fill="D9D9D9" w:themeFill="background1" w:themeFillShade="D9"/>
            <w:vAlign w:val="bottom"/>
          </w:tcPr>
          <w:p w14:paraId="1587A913" w14:textId="48E1D8E1"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+3.9%</w:t>
            </w:r>
          </w:p>
        </w:tc>
        <w:tc>
          <w:tcPr>
            <w:tcW w:w="1485" w:type="dxa"/>
            <w:gridSpan w:val="2"/>
            <w:tcBorders>
              <w:right w:val="single" w:sz="4" w:space="0" w:color="17365D" w:themeColor="text2" w:themeShade="BF"/>
            </w:tcBorders>
            <w:shd w:val="clear" w:color="auto" w:fill="D9D9D9" w:themeFill="background1" w:themeFillShade="D9"/>
            <w:vAlign w:val="bottom"/>
          </w:tcPr>
          <w:p w14:paraId="106DFF9E" w14:textId="1B49FDE4"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+5.5%</w:t>
            </w:r>
          </w:p>
        </w:tc>
        <w:tc>
          <w:tcPr>
            <w:tcW w:w="1305" w:type="dxa"/>
            <w:tcBorders>
              <w:left w:val="single" w:sz="4" w:space="0" w:color="17365D" w:themeColor="text2" w:themeShade="BF"/>
            </w:tcBorders>
            <w:shd w:val="clear" w:color="auto" w:fill="D9D9D9" w:themeFill="background1" w:themeFillShade="D9"/>
            <w:vAlign w:val="bottom"/>
          </w:tcPr>
          <w:p w14:paraId="66F40F56" w14:textId="52CBAA44"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$5.6B</w:t>
            </w:r>
          </w:p>
        </w:tc>
        <w:tc>
          <w:tcPr>
            <w:tcW w:w="1665" w:type="dxa"/>
            <w:shd w:val="clear" w:color="auto" w:fill="D9D9D9" w:themeFill="background1" w:themeFillShade="D9"/>
            <w:vAlign w:val="bottom"/>
          </w:tcPr>
          <w:p w14:paraId="3BFD4643" w14:textId="4A9D8B43"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+2.9%</w:t>
            </w:r>
          </w:p>
        </w:tc>
        <w:tc>
          <w:tcPr>
            <w:tcW w:w="1486" w:type="dxa"/>
            <w:shd w:val="clear" w:color="auto" w:fill="D9D9D9" w:themeFill="background1" w:themeFillShade="D9"/>
            <w:vAlign w:val="bottom"/>
          </w:tcPr>
          <w:p w14:paraId="7E7D4104" w14:textId="7462384D"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+3.3%</w:t>
            </w:r>
          </w:p>
        </w:tc>
      </w:tr>
      <w:tr w:rsidR="00DD1221" w:rsidRPr="00F15260" w14:paraId="009F29AD" w14:textId="77777777" w:rsidTr="00B016AE">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DD1221" w:rsidRPr="00DD1221" w:rsidRDefault="00DD1221" w:rsidP="00DD1221">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shellfish</w:t>
            </w:r>
          </w:p>
        </w:tc>
        <w:tc>
          <w:tcPr>
            <w:tcW w:w="1305" w:type="dxa"/>
            <w:vAlign w:val="bottom"/>
          </w:tcPr>
          <w:p w14:paraId="277CE7F0" w14:textId="4396040A"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$198M</w:t>
            </w:r>
          </w:p>
        </w:tc>
        <w:tc>
          <w:tcPr>
            <w:tcW w:w="1485" w:type="dxa"/>
            <w:vAlign w:val="bottom"/>
          </w:tcPr>
          <w:p w14:paraId="7DDAAAA4" w14:textId="5F4F41E0"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-6.6%</w:t>
            </w:r>
          </w:p>
        </w:tc>
        <w:tc>
          <w:tcPr>
            <w:tcW w:w="1485" w:type="dxa"/>
            <w:gridSpan w:val="2"/>
            <w:tcBorders>
              <w:right w:val="single" w:sz="4" w:space="0" w:color="17365D" w:themeColor="text2" w:themeShade="BF"/>
            </w:tcBorders>
            <w:vAlign w:val="bottom"/>
          </w:tcPr>
          <w:p w14:paraId="48D14838" w14:textId="35DCF9B9"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-12.6%</w:t>
            </w:r>
          </w:p>
        </w:tc>
        <w:tc>
          <w:tcPr>
            <w:tcW w:w="1305" w:type="dxa"/>
            <w:tcBorders>
              <w:left w:val="single" w:sz="4" w:space="0" w:color="17365D" w:themeColor="text2" w:themeShade="BF"/>
            </w:tcBorders>
            <w:vAlign w:val="bottom"/>
          </w:tcPr>
          <w:p w14:paraId="1FCC62E3" w14:textId="279064BA"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$2.6B</w:t>
            </w:r>
          </w:p>
        </w:tc>
        <w:tc>
          <w:tcPr>
            <w:tcW w:w="1665" w:type="dxa"/>
            <w:vAlign w:val="bottom"/>
          </w:tcPr>
          <w:p w14:paraId="7EFA706F" w14:textId="31D8D120"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-4.1%</w:t>
            </w:r>
          </w:p>
        </w:tc>
        <w:tc>
          <w:tcPr>
            <w:tcW w:w="1486" w:type="dxa"/>
            <w:vAlign w:val="bottom"/>
          </w:tcPr>
          <w:p w14:paraId="68B84796" w14:textId="2EF705CC" w:rsidR="00DD1221" w:rsidRPr="00DD1221" w:rsidRDefault="00DD1221" w:rsidP="00DD12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-7.1%</w:t>
            </w:r>
          </w:p>
        </w:tc>
      </w:tr>
      <w:tr w:rsidR="00DD1221" w:rsidRPr="00F15260" w14:paraId="43D6193F" w14:textId="77777777" w:rsidTr="00B016A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31668D95" w14:textId="082753BB" w:rsidR="00DD1221" w:rsidRPr="00DD1221" w:rsidRDefault="00DD1221" w:rsidP="00DD1221">
            <w:pPr>
              <w:pStyle w:val="NoSpacing"/>
              <w:rPr>
                <w:rFonts w:ascii="Arial" w:eastAsia="Times New Roman" w:hAnsi="Arial" w:cs="Arial"/>
                <w:b w:val="0"/>
                <w:bCs w:val="0"/>
                <w:color w:val="000000" w:themeColor="text1"/>
                <w:sz w:val="18"/>
                <w:szCs w:val="18"/>
              </w:rPr>
            </w:pPr>
            <w:r w:rsidRPr="00DD1221">
              <w:rPr>
                <w:rFonts w:ascii="Arial" w:eastAsia="Times New Roman" w:hAnsi="Arial" w:cs="Arial"/>
                <w:b w:val="0"/>
                <w:bCs w:val="0"/>
                <w:color w:val="000000" w:themeColor="text1"/>
                <w:sz w:val="18"/>
                <w:szCs w:val="18"/>
              </w:rPr>
              <w:t>All other seafood</w:t>
            </w:r>
          </w:p>
        </w:tc>
        <w:tc>
          <w:tcPr>
            <w:tcW w:w="1305" w:type="dxa"/>
            <w:shd w:val="clear" w:color="auto" w:fill="D9D9D9" w:themeFill="background1" w:themeFillShade="D9"/>
            <w:vAlign w:val="bottom"/>
          </w:tcPr>
          <w:p w14:paraId="46526851" w14:textId="0A104B03"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$27M</w:t>
            </w:r>
          </w:p>
        </w:tc>
        <w:tc>
          <w:tcPr>
            <w:tcW w:w="1485" w:type="dxa"/>
            <w:shd w:val="clear" w:color="auto" w:fill="D9D9D9" w:themeFill="background1" w:themeFillShade="D9"/>
            <w:vAlign w:val="bottom"/>
          </w:tcPr>
          <w:p w14:paraId="6278C770" w14:textId="6D3B2590"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-0.2%</w:t>
            </w:r>
          </w:p>
        </w:tc>
        <w:tc>
          <w:tcPr>
            <w:tcW w:w="1485" w:type="dxa"/>
            <w:gridSpan w:val="2"/>
            <w:tcBorders>
              <w:right w:val="single" w:sz="4" w:space="0" w:color="17365D" w:themeColor="text2" w:themeShade="BF"/>
            </w:tcBorders>
            <w:shd w:val="clear" w:color="auto" w:fill="D9D9D9" w:themeFill="background1" w:themeFillShade="D9"/>
            <w:vAlign w:val="bottom"/>
          </w:tcPr>
          <w:p w14:paraId="4E87EFA0" w14:textId="216F2A72"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-2.0%</w:t>
            </w:r>
          </w:p>
        </w:tc>
        <w:tc>
          <w:tcPr>
            <w:tcW w:w="1305" w:type="dxa"/>
            <w:tcBorders>
              <w:left w:val="single" w:sz="4" w:space="0" w:color="17365D" w:themeColor="text2" w:themeShade="BF"/>
            </w:tcBorders>
            <w:shd w:val="clear" w:color="auto" w:fill="D9D9D9" w:themeFill="background1" w:themeFillShade="D9"/>
            <w:vAlign w:val="bottom"/>
          </w:tcPr>
          <w:p w14:paraId="5000A218" w14:textId="00BBAE01"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$349M</w:t>
            </w:r>
          </w:p>
        </w:tc>
        <w:tc>
          <w:tcPr>
            <w:tcW w:w="1665" w:type="dxa"/>
            <w:shd w:val="clear" w:color="auto" w:fill="D9D9D9" w:themeFill="background1" w:themeFillShade="D9"/>
            <w:vAlign w:val="bottom"/>
          </w:tcPr>
          <w:p w14:paraId="43574BCF" w14:textId="18F46F65"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+1.4%</w:t>
            </w:r>
          </w:p>
        </w:tc>
        <w:tc>
          <w:tcPr>
            <w:tcW w:w="1486" w:type="dxa"/>
            <w:shd w:val="clear" w:color="auto" w:fill="D9D9D9" w:themeFill="background1" w:themeFillShade="D9"/>
            <w:vAlign w:val="bottom"/>
          </w:tcPr>
          <w:p w14:paraId="07041CEB" w14:textId="559AA49F" w:rsidR="00DD1221" w:rsidRPr="00DD1221" w:rsidRDefault="00DD1221" w:rsidP="00DD12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D1221">
              <w:rPr>
                <w:rFonts w:ascii="Arial" w:hAnsi="Arial" w:cs="Arial"/>
                <w:color w:val="000000"/>
                <w:sz w:val="18"/>
                <w:szCs w:val="18"/>
              </w:rPr>
              <w:t>-1.3%</w:t>
            </w:r>
          </w:p>
        </w:tc>
      </w:tr>
    </w:tbl>
    <w:p w14:paraId="46C53BBE" w14:textId="7C473154" w:rsidR="00CD6192" w:rsidRPr="00E61F90"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proofErr w:type="spellStart"/>
      <w:r w:rsidR="007A44BE" w:rsidRPr="00E61F90">
        <w:rPr>
          <w:rFonts w:ascii="Arial" w:hAnsi="Arial" w:cs="Arial"/>
          <w:color w:val="7F7F7F" w:themeColor="text1" w:themeTint="80"/>
          <w:sz w:val="16"/>
          <w:szCs w:val="16"/>
        </w:rPr>
        <w:t>Circana</w:t>
      </w:r>
      <w:proofErr w:type="spellEnd"/>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3C10C579" w14:textId="331254E4" w:rsidR="001445C0" w:rsidRDefault="001445C0" w:rsidP="001445C0">
      <w:pPr>
        <w:pStyle w:val="NoSpacing"/>
        <w:rPr>
          <w:rFonts w:ascii="Arial" w:hAnsi="Arial" w:cs="Arial"/>
          <w:bCs/>
          <w:color w:val="000000" w:themeColor="text1"/>
          <w:sz w:val="20"/>
          <w:szCs w:val="16"/>
        </w:rPr>
      </w:pPr>
    </w:p>
    <w:p w14:paraId="1121E384" w14:textId="09B3FE4C" w:rsidR="00325C3A" w:rsidRDefault="00DD1221" w:rsidP="001445C0">
      <w:pPr>
        <w:pStyle w:val="NoSpacing"/>
        <w:rPr>
          <w:rFonts w:ascii="Arial" w:hAnsi="Arial" w:cs="Arial"/>
          <w:bCs/>
          <w:color w:val="000000" w:themeColor="text1"/>
          <w:sz w:val="20"/>
          <w:szCs w:val="16"/>
        </w:rPr>
      </w:pPr>
      <w:r>
        <w:rPr>
          <w:rFonts w:ascii="Arial" w:hAnsi="Arial" w:cs="Arial"/>
          <w:bCs/>
          <w:color w:val="000000" w:themeColor="text1"/>
          <w:sz w:val="20"/>
          <w:szCs w:val="16"/>
        </w:rPr>
        <w:t>Refrigerated finfish dollar sales have been growing since the third quarter of 2024, with year-to-date growth of 3.9%</w:t>
      </w:r>
      <w:r w:rsidR="0047126A">
        <w:rPr>
          <w:rFonts w:ascii="Arial" w:hAnsi="Arial" w:cs="Arial"/>
          <w:bCs/>
          <w:color w:val="000000" w:themeColor="text1"/>
          <w:sz w:val="20"/>
          <w:szCs w:val="16"/>
        </w:rPr>
        <w:t>.</w:t>
      </w:r>
      <w:r>
        <w:rPr>
          <w:rFonts w:ascii="Arial" w:hAnsi="Arial" w:cs="Arial"/>
          <w:bCs/>
          <w:color w:val="000000" w:themeColor="text1"/>
          <w:sz w:val="20"/>
          <w:szCs w:val="16"/>
        </w:rPr>
        <w:t xml:space="preserve"> Pound sales have experienced even greater gains. During the second quarter of 2025, pound sales rose 6.8% and year-to-date, pound sales have increased </w:t>
      </w:r>
      <w:r w:rsidR="005C7D0A">
        <w:rPr>
          <w:rFonts w:ascii="Arial" w:hAnsi="Arial" w:cs="Arial"/>
          <w:bCs/>
          <w:color w:val="000000" w:themeColor="text1"/>
          <w:sz w:val="20"/>
          <w:szCs w:val="16"/>
        </w:rPr>
        <w:t>4.7%. For the quarterly results, it is important to remember the Easter shift.</w:t>
      </w:r>
    </w:p>
    <w:p w14:paraId="0A3B0BF2" w14:textId="65A9C835" w:rsidR="002124AA" w:rsidRDefault="0047126A" w:rsidP="001445C0">
      <w:pPr>
        <w:pStyle w:val="NoSpacing"/>
        <w:rPr>
          <w:rFonts w:ascii="Arial" w:hAnsi="Arial" w:cs="Arial"/>
          <w:sz w:val="20"/>
          <w:szCs w:val="20"/>
        </w:rPr>
      </w:pP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61500F5E">
            <wp:simplePos x="0" y="0"/>
            <wp:positionH relativeFrom="column">
              <wp:posOffset>-28575</wp:posOffset>
            </wp:positionH>
            <wp:positionV relativeFrom="paragraph">
              <wp:posOffset>191135</wp:posOffset>
            </wp:positionV>
            <wp:extent cx="6675120" cy="2801620"/>
            <wp:effectExtent l="0" t="0" r="0" b="0"/>
            <wp:wrapTight wrapText="bothSides">
              <wp:wrapPolygon edited="0">
                <wp:start x="0" y="0"/>
                <wp:lineTo x="0" y="21443"/>
                <wp:lineTo x="21514" y="21443"/>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AD301E">
        <w:rPr>
          <w:noProof/>
          <w:lang w:val="nl-NL" w:eastAsia="nl-NL"/>
        </w:rPr>
        <mc:AlternateContent>
          <mc:Choice Requires="wps">
            <w:drawing>
              <wp:anchor distT="0" distB="0" distL="114300" distR="114300" simplePos="0" relativeHeight="251691008" behindDoc="0" locked="0" layoutInCell="1" allowOverlap="1" wp14:anchorId="01CBEC34" wp14:editId="2B217B15">
                <wp:simplePos x="0" y="0"/>
                <wp:positionH relativeFrom="margin">
                  <wp:align>left</wp:align>
                </wp:positionH>
                <wp:positionV relativeFrom="paragraph">
                  <wp:posOffset>2658745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0;margin-top:209.35pt;width:204.1pt;height:16.9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" fillcolor="white [3201]" stroked="f" strokeweight=".5pt">
                <v:textbo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v:textbox>
                <w10:wrap anchorx="margin"/>
              </v:shape>
            </w:pict>
          </mc:Fallback>
        </mc:AlternateContent>
      </w:r>
    </w:p>
    <w:p w14:paraId="1DF180B5" w14:textId="5175FD45" w:rsidR="00293CE8" w:rsidRDefault="005C7D0A" w:rsidP="001445C0">
      <w:pPr>
        <w:pStyle w:val="NoSpacing"/>
        <w:rPr>
          <w:rFonts w:ascii="Arial" w:hAnsi="Arial" w:cs="Arial"/>
          <w:sz w:val="20"/>
          <w:szCs w:val="20"/>
        </w:rPr>
      </w:pPr>
      <w:r>
        <w:rPr>
          <w:rFonts w:ascii="Arial" w:hAnsi="Arial" w:cs="Arial"/>
          <w:sz w:val="20"/>
          <w:szCs w:val="20"/>
        </w:rPr>
        <w:t xml:space="preserve">The second-quarter patterns for shellfish were very different. Both pound and dollar sales were down, despite a positive April. Yet, the rate of decline for both dollar and pound sales is improving slightly over the past few quarters. </w:t>
      </w:r>
    </w:p>
    <w:p w14:paraId="736366D7" w14:textId="306183E6" w:rsidR="002124AA" w:rsidRDefault="002124AA" w:rsidP="001445C0">
      <w:pPr>
        <w:pStyle w:val="NoSpacing"/>
        <w:rPr>
          <w:rFonts w:ascii="Arial" w:hAnsi="Arial" w:cs="Arial"/>
          <w:sz w:val="20"/>
          <w:szCs w:val="20"/>
        </w:rPr>
      </w:pPr>
    </w:p>
    <w:p w14:paraId="3990DEC7" w14:textId="100BE5B0" w:rsidR="00293CE8" w:rsidRDefault="00F81649"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66432" behindDoc="0" locked="0" layoutInCell="1" allowOverlap="1" wp14:anchorId="4B2FEF61" wp14:editId="7D6A9CF7">
                <wp:simplePos x="0" y="0"/>
                <wp:positionH relativeFrom="margin">
                  <wp:align>right</wp:align>
                </wp:positionH>
                <wp:positionV relativeFrom="paragraph">
                  <wp:posOffset>2633980</wp:posOffset>
                </wp:positionV>
                <wp:extent cx="2592126" cy="214685"/>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152.9pt;margin-top:207.4pt;width:204.1pt;height:16.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i7MQ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" fillcolor="white [3201]" stroked="f" strokeweight=".5pt">
                <v:textbo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v:textbox>
                <w10:wrap anchorx="margin"/>
              </v:shape>
            </w:pict>
          </mc:Fallback>
        </mc:AlternateContent>
      </w:r>
      <w:r w:rsidRPr="00C230D2">
        <w:rPr>
          <w:rFonts w:ascii="Arial" w:hAnsi="Arial" w:cs="Arial"/>
          <w:bCs/>
          <w:noProof/>
          <w:color w:val="660066"/>
          <w:sz w:val="20"/>
          <w:szCs w:val="16"/>
          <w:lang w:val="nl-NL" w:eastAsia="nl-NL"/>
        </w:rPr>
        <w:drawing>
          <wp:inline distT="0" distB="0" distL="0" distR="0" wp14:anchorId="66B012FF" wp14:editId="73349BF8">
            <wp:extent cx="6750685" cy="2790825"/>
            <wp:effectExtent l="0" t="0" r="0" b="0"/>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BC9C1" w14:textId="1B5763B9" w:rsidR="00293CE8" w:rsidRDefault="00293CE8" w:rsidP="001445C0">
      <w:pPr>
        <w:pStyle w:val="NoSpacing"/>
        <w:rPr>
          <w:rFonts w:ascii="Arial" w:hAnsi="Arial" w:cs="Arial"/>
          <w:sz w:val="20"/>
          <w:szCs w:val="20"/>
        </w:rPr>
      </w:pPr>
    </w:p>
    <w:p w14:paraId="018AD182" w14:textId="77777777" w:rsidR="006F697A" w:rsidRDefault="006F697A" w:rsidP="001445C0">
      <w:pPr>
        <w:pStyle w:val="NoSpacing"/>
        <w:rPr>
          <w:rFonts w:ascii="Arial" w:hAnsi="Arial" w:cs="Arial"/>
          <w:sz w:val="20"/>
          <w:szCs w:val="20"/>
        </w:rPr>
      </w:pPr>
    </w:p>
    <w:tbl>
      <w:tblPr>
        <w:tblStyle w:val="GridTable4"/>
        <w:tblpPr w:leftFromText="180" w:rightFromText="180" w:vertAnchor="text" w:horzAnchor="margin" w:tblpY="137"/>
        <w:tblW w:w="2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8"/>
        <w:gridCol w:w="1312"/>
        <w:gridCol w:w="1582"/>
        <w:gridCol w:w="1726"/>
      </w:tblGrid>
      <w:tr w:rsidR="0047126A" w:rsidRPr="00B25707" w14:paraId="09D57EB7" w14:textId="77777777" w:rsidTr="00987432">
        <w:trPr>
          <w:cnfStyle w:val="100000000000" w:firstRow="1" w:lastRow="0" w:firstColumn="0" w:lastColumn="0" w:oddVBand="0" w:evenVBand="0" w:oddHBand="0"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shd w:val="clear" w:color="auto" w:fill="17365D" w:themeFill="text2" w:themeFillShade="BF"/>
          </w:tcPr>
          <w:p w14:paraId="45C9BBDF" w14:textId="77777777" w:rsidR="0047126A" w:rsidRPr="00B25707" w:rsidRDefault="0047126A" w:rsidP="00987432">
            <w:pPr>
              <w:pStyle w:val="NoSpacing"/>
              <w:rPr>
                <w:rFonts w:ascii="Arial" w:hAnsi="Arial" w:cs="Arial"/>
                <w:sz w:val="18"/>
                <w:szCs w:val="18"/>
              </w:rPr>
            </w:pPr>
            <w:r w:rsidRPr="00B25707">
              <w:rPr>
                <w:rFonts w:ascii="Arial" w:hAnsi="Arial" w:cs="Arial"/>
                <w:sz w:val="18"/>
                <w:szCs w:val="18"/>
              </w:rPr>
              <w:t>Fresh seafood</w:t>
            </w:r>
          </w:p>
        </w:tc>
        <w:tc>
          <w:tcPr>
            <w:tcW w:w="1055" w:type="pct"/>
            <w:shd w:val="clear" w:color="auto" w:fill="17365D" w:themeFill="text2" w:themeFillShade="BF"/>
          </w:tcPr>
          <w:p w14:paraId="67394588" w14:textId="77777777" w:rsidR="0047126A" w:rsidRPr="00B25707" w:rsidRDefault="0047126A" w:rsidP="0098743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Dollar sales</w:t>
            </w:r>
          </w:p>
        </w:tc>
        <w:tc>
          <w:tcPr>
            <w:tcW w:w="1272" w:type="pct"/>
            <w:shd w:val="clear" w:color="auto" w:fill="17365D" w:themeFill="text2" w:themeFillShade="BF"/>
          </w:tcPr>
          <w:p w14:paraId="1B2D6559" w14:textId="77777777" w:rsidR="0047126A" w:rsidRPr="00B25707" w:rsidRDefault="0047126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 xml:space="preserve">Dollar vs. </w:t>
            </w:r>
            <w:r>
              <w:rPr>
                <w:rFonts w:ascii="Arial" w:hAnsi="Arial" w:cs="Arial"/>
                <w:sz w:val="18"/>
                <w:szCs w:val="18"/>
              </w:rPr>
              <w:t>YA</w:t>
            </w:r>
          </w:p>
        </w:tc>
        <w:tc>
          <w:tcPr>
            <w:tcW w:w="1388" w:type="pct"/>
            <w:shd w:val="clear" w:color="auto" w:fill="17365D" w:themeFill="text2" w:themeFillShade="BF"/>
          </w:tcPr>
          <w:p w14:paraId="3795D33C" w14:textId="77777777" w:rsidR="0047126A" w:rsidRPr="00B25707" w:rsidRDefault="0047126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Pounds </w:t>
            </w:r>
            <w:r w:rsidRPr="00B25707">
              <w:rPr>
                <w:rFonts w:ascii="Arial" w:hAnsi="Arial" w:cs="Arial"/>
                <w:sz w:val="18"/>
                <w:szCs w:val="18"/>
              </w:rPr>
              <w:t xml:space="preserve">vs. </w:t>
            </w:r>
            <w:r>
              <w:rPr>
                <w:rFonts w:ascii="Arial" w:hAnsi="Arial" w:cs="Arial"/>
                <w:sz w:val="18"/>
                <w:szCs w:val="18"/>
              </w:rPr>
              <w:t>YA</w:t>
            </w:r>
          </w:p>
        </w:tc>
      </w:tr>
      <w:tr w:rsidR="00290936" w:rsidRPr="005A1DA4" w14:paraId="7F3228CF" w14:textId="77777777" w:rsidTr="00346A5A">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tcPr>
          <w:p w14:paraId="5E6AE4C1" w14:textId="76A19F6B" w:rsidR="00290936" w:rsidRPr="00290936" w:rsidRDefault="00290936" w:rsidP="00290936">
            <w:pPr>
              <w:pStyle w:val="NoSpacing"/>
              <w:rPr>
                <w:rFonts w:ascii="Arial" w:hAnsi="Arial" w:cs="Arial"/>
                <w:color w:val="000000" w:themeColor="text1"/>
                <w:sz w:val="18"/>
                <w:szCs w:val="18"/>
              </w:rPr>
            </w:pPr>
            <w:r w:rsidRPr="00290936">
              <w:rPr>
                <w:rFonts w:ascii="Arial" w:hAnsi="Arial" w:cs="Arial"/>
                <w:color w:val="000000"/>
                <w:sz w:val="18"/>
                <w:szCs w:val="18"/>
              </w:rPr>
              <w:t>June 2025</w:t>
            </w:r>
          </w:p>
        </w:tc>
        <w:tc>
          <w:tcPr>
            <w:tcW w:w="1055" w:type="pct"/>
            <w:vAlign w:val="bottom"/>
          </w:tcPr>
          <w:p w14:paraId="45D6BBBF" w14:textId="4C0C8D26"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0936">
              <w:rPr>
                <w:rFonts w:ascii="Arial" w:hAnsi="Arial" w:cs="Arial"/>
                <w:color w:val="000000"/>
                <w:sz w:val="18"/>
                <w:szCs w:val="18"/>
              </w:rPr>
              <w:t>$677M</w:t>
            </w:r>
          </w:p>
        </w:tc>
        <w:tc>
          <w:tcPr>
            <w:tcW w:w="1272" w:type="pct"/>
            <w:vAlign w:val="bottom"/>
          </w:tcPr>
          <w:p w14:paraId="59ED5CFC" w14:textId="5EB13D06"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290936">
              <w:rPr>
                <w:rFonts w:ascii="Arial" w:hAnsi="Arial" w:cs="Arial"/>
                <w:color w:val="000000"/>
                <w:sz w:val="18"/>
                <w:szCs w:val="18"/>
              </w:rPr>
              <w:t>+0.4%</w:t>
            </w:r>
          </w:p>
        </w:tc>
        <w:tc>
          <w:tcPr>
            <w:tcW w:w="1388" w:type="pct"/>
            <w:vAlign w:val="bottom"/>
          </w:tcPr>
          <w:p w14:paraId="02151E25" w14:textId="34923EE1"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290936">
              <w:rPr>
                <w:rFonts w:ascii="Arial" w:hAnsi="Arial" w:cs="Arial"/>
                <w:color w:val="000000"/>
                <w:sz w:val="18"/>
                <w:szCs w:val="18"/>
              </w:rPr>
              <w:t>-1.5%</w:t>
            </w:r>
          </w:p>
        </w:tc>
      </w:tr>
      <w:tr w:rsidR="00290936" w:rsidRPr="00701340" w14:paraId="6134CC26" w14:textId="77777777" w:rsidTr="00346A5A">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2549652" w14:textId="2AB6C5DB" w:rsidR="00290936" w:rsidRPr="00290936" w:rsidRDefault="00290936" w:rsidP="00290936">
            <w:pPr>
              <w:rPr>
                <w:rFonts w:ascii="Arial" w:hAnsi="Arial" w:cs="Arial"/>
                <w:b w:val="0"/>
                <w:bCs w:val="0"/>
                <w:sz w:val="18"/>
                <w:szCs w:val="18"/>
              </w:rPr>
            </w:pPr>
            <w:proofErr w:type="spellStart"/>
            <w:r w:rsidRPr="00290936">
              <w:rPr>
                <w:rFonts w:ascii="Arial" w:hAnsi="Arial" w:cs="Arial"/>
                <w:b w:val="0"/>
                <w:bCs w:val="0"/>
                <w:color w:val="000000"/>
                <w:sz w:val="18"/>
                <w:szCs w:val="18"/>
              </w:rPr>
              <w:t>w.e</w:t>
            </w:r>
            <w:proofErr w:type="spellEnd"/>
            <w:r w:rsidRPr="00290936">
              <w:rPr>
                <w:rFonts w:ascii="Arial" w:hAnsi="Arial" w:cs="Arial"/>
                <w:b w:val="0"/>
                <w:bCs w:val="0"/>
                <w:color w:val="000000"/>
                <w:sz w:val="18"/>
                <w:szCs w:val="18"/>
              </w:rPr>
              <w:t>. 06-08-25</w:t>
            </w:r>
          </w:p>
        </w:tc>
        <w:tc>
          <w:tcPr>
            <w:tcW w:w="1055" w:type="pct"/>
            <w:vAlign w:val="bottom"/>
          </w:tcPr>
          <w:p w14:paraId="4217A1C7" w14:textId="34A059C3"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290936">
              <w:rPr>
                <w:rFonts w:ascii="Arial" w:hAnsi="Arial" w:cs="Arial"/>
                <w:color w:val="000000"/>
                <w:sz w:val="18"/>
                <w:szCs w:val="18"/>
              </w:rPr>
              <w:t>$166.5M</w:t>
            </w:r>
          </w:p>
        </w:tc>
        <w:tc>
          <w:tcPr>
            <w:tcW w:w="1272" w:type="pct"/>
            <w:vAlign w:val="bottom"/>
          </w:tcPr>
          <w:p w14:paraId="1FA62EE7" w14:textId="4E919F9A"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+0.7%</w:t>
            </w:r>
          </w:p>
        </w:tc>
        <w:tc>
          <w:tcPr>
            <w:tcW w:w="1388" w:type="pct"/>
            <w:vAlign w:val="bottom"/>
          </w:tcPr>
          <w:p w14:paraId="45622511" w14:textId="2A2D22A6"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+0.9%</w:t>
            </w:r>
          </w:p>
        </w:tc>
      </w:tr>
      <w:tr w:rsidR="00290936" w:rsidRPr="00701340" w14:paraId="4FFA0E46" w14:textId="77777777" w:rsidTr="00346A5A">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188B8E1" w14:textId="3626854E" w:rsidR="00290936" w:rsidRPr="00290936" w:rsidRDefault="00290936" w:rsidP="00290936">
            <w:pPr>
              <w:rPr>
                <w:rFonts w:ascii="Arial" w:hAnsi="Arial" w:cs="Arial"/>
                <w:b w:val="0"/>
                <w:bCs w:val="0"/>
                <w:color w:val="000000" w:themeColor="text1"/>
                <w:sz w:val="18"/>
                <w:szCs w:val="18"/>
              </w:rPr>
            </w:pPr>
            <w:proofErr w:type="spellStart"/>
            <w:r w:rsidRPr="00290936">
              <w:rPr>
                <w:rFonts w:ascii="Arial" w:hAnsi="Arial" w:cs="Arial"/>
                <w:b w:val="0"/>
                <w:bCs w:val="0"/>
                <w:color w:val="000000"/>
                <w:sz w:val="18"/>
                <w:szCs w:val="18"/>
              </w:rPr>
              <w:t>w.e</w:t>
            </w:r>
            <w:proofErr w:type="spellEnd"/>
            <w:r w:rsidRPr="00290936">
              <w:rPr>
                <w:rFonts w:ascii="Arial" w:hAnsi="Arial" w:cs="Arial"/>
                <w:b w:val="0"/>
                <w:bCs w:val="0"/>
                <w:color w:val="000000"/>
                <w:sz w:val="18"/>
                <w:szCs w:val="18"/>
              </w:rPr>
              <w:t>. 06-15-25</w:t>
            </w:r>
          </w:p>
        </w:tc>
        <w:tc>
          <w:tcPr>
            <w:tcW w:w="1055" w:type="pct"/>
            <w:vAlign w:val="bottom"/>
          </w:tcPr>
          <w:p w14:paraId="352958DF" w14:textId="16DD489E"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$181.3M</w:t>
            </w:r>
          </w:p>
        </w:tc>
        <w:tc>
          <w:tcPr>
            <w:tcW w:w="1272" w:type="pct"/>
            <w:vAlign w:val="bottom"/>
          </w:tcPr>
          <w:p w14:paraId="0E432148" w14:textId="687F200D"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+1.1%</w:t>
            </w:r>
          </w:p>
        </w:tc>
        <w:tc>
          <w:tcPr>
            <w:tcW w:w="1388" w:type="pct"/>
            <w:vAlign w:val="bottom"/>
          </w:tcPr>
          <w:p w14:paraId="40607876" w14:textId="0389A56A"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-1.8%</w:t>
            </w:r>
          </w:p>
        </w:tc>
      </w:tr>
      <w:tr w:rsidR="00290936" w:rsidRPr="00701340" w14:paraId="35B2DD96" w14:textId="77777777" w:rsidTr="00346A5A">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702713D" w14:textId="45CC8BD3" w:rsidR="00290936" w:rsidRPr="00290936" w:rsidRDefault="00290936" w:rsidP="00290936">
            <w:pPr>
              <w:rPr>
                <w:rFonts w:ascii="Arial" w:hAnsi="Arial" w:cs="Arial"/>
                <w:b w:val="0"/>
                <w:bCs w:val="0"/>
                <w:color w:val="000000" w:themeColor="text1"/>
                <w:sz w:val="18"/>
                <w:szCs w:val="18"/>
              </w:rPr>
            </w:pPr>
            <w:proofErr w:type="spellStart"/>
            <w:r w:rsidRPr="00290936">
              <w:rPr>
                <w:rFonts w:ascii="Arial" w:hAnsi="Arial" w:cs="Arial"/>
                <w:b w:val="0"/>
                <w:bCs w:val="0"/>
                <w:color w:val="000000"/>
                <w:sz w:val="18"/>
                <w:szCs w:val="18"/>
              </w:rPr>
              <w:t>w.e</w:t>
            </w:r>
            <w:proofErr w:type="spellEnd"/>
            <w:r w:rsidRPr="00290936">
              <w:rPr>
                <w:rFonts w:ascii="Arial" w:hAnsi="Arial" w:cs="Arial"/>
                <w:b w:val="0"/>
                <w:bCs w:val="0"/>
                <w:color w:val="000000"/>
                <w:sz w:val="18"/>
                <w:szCs w:val="18"/>
              </w:rPr>
              <w:t>. 06-22-25</w:t>
            </w:r>
          </w:p>
        </w:tc>
        <w:tc>
          <w:tcPr>
            <w:tcW w:w="1055" w:type="pct"/>
            <w:vAlign w:val="bottom"/>
          </w:tcPr>
          <w:p w14:paraId="43BF1AE2" w14:textId="6581435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$167.0M</w:t>
            </w:r>
          </w:p>
        </w:tc>
        <w:tc>
          <w:tcPr>
            <w:tcW w:w="1272" w:type="pct"/>
            <w:vAlign w:val="bottom"/>
          </w:tcPr>
          <w:p w14:paraId="15773542" w14:textId="1982AC57"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+0.6%</w:t>
            </w:r>
          </w:p>
        </w:tc>
        <w:tc>
          <w:tcPr>
            <w:tcW w:w="1388" w:type="pct"/>
            <w:vAlign w:val="bottom"/>
          </w:tcPr>
          <w:p w14:paraId="1942E0B2" w14:textId="35DAE919"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290936">
              <w:rPr>
                <w:rFonts w:ascii="Arial" w:hAnsi="Arial" w:cs="Arial"/>
                <w:color w:val="000000"/>
                <w:sz w:val="18"/>
                <w:szCs w:val="18"/>
              </w:rPr>
              <w:t>-2.0%</w:t>
            </w:r>
          </w:p>
        </w:tc>
      </w:tr>
      <w:tr w:rsidR="00290936" w:rsidRPr="00701340" w14:paraId="3A66FC91" w14:textId="77777777" w:rsidTr="00346A5A">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29EBA3ED" w14:textId="17278747" w:rsidR="00290936" w:rsidRPr="00290936" w:rsidRDefault="00290936" w:rsidP="00290936">
            <w:pPr>
              <w:rPr>
                <w:rFonts w:ascii="Arial" w:hAnsi="Arial" w:cs="Arial"/>
                <w:b w:val="0"/>
                <w:bCs w:val="0"/>
                <w:color w:val="000000" w:themeColor="text1"/>
                <w:sz w:val="18"/>
                <w:szCs w:val="18"/>
              </w:rPr>
            </w:pPr>
            <w:proofErr w:type="spellStart"/>
            <w:r w:rsidRPr="00290936">
              <w:rPr>
                <w:rFonts w:ascii="Arial" w:hAnsi="Arial" w:cs="Arial"/>
                <w:b w:val="0"/>
                <w:bCs w:val="0"/>
                <w:color w:val="000000"/>
                <w:sz w:val="18"/>
                <w:szCs w:val="18"/>
              </w:rPr>
              <w:t>w.e</w:t>
            </w:r>
            <w:proofErr w:type="spellEnd"/>
            <w:r w:rsidRPr="00290936">
              <w:rPr>
                <w:rFonts w:ascii="Arial" w:hAnsi="Arial" w:cs="Arial"/>
                <w:b w:val="0"/>
                <w:bCs w:val="0"/>
                <w:color w:val="000000"/>
                <w:sz w:val="18"/>
                <w:szCs w:val="18"/>
              </w:rPr>
              <w:t>. 06-29-25</w:t>
            </w:r>
          </w:p>
        </w:tc>
        <w:tc>
          <w:tcPr>
            <w:tcW w:w="1055" w:type="pct"/>
            <w:vAlign w:val="bottom"/>
          </w:tcPr>
          <w:p w14:paraId="4FFC8C2B" w14:textId="75533F1C" w:rsidR="00290936" w:rsidRPr="00701340"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Calibri" w:hAnsi="Calibri" w:cs="Calibri"/>
                <w:color w:val="000000"/>
              </w:rPr>
              <w:t>$166.5M</w:t>
            </w:r>
          </w:p>
        </w:tc>
        <w:tc>
          <w:tcPr>
            <w:tcW w:w="1272" w:type="pct"/>
            <w:vAlign w:val="bottom"/>
          </w:tcPr>
          <w:p w14:paraId="269A3BFE" w14:textId="7630F9A7" w:rsidR="00290936" w:rsidRPr="00701340"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Calibri" w:hAnsi="Calibri" w:cs="Calibri"/>
                <w:color w:val="000000"/>
              </w:rPr>
              <w:t>+0.7%</w:t>
            </w:r>
          </w:p>
        </w:tc>
        <w:tc>
          <w:tcPr>
            <w:tcW w:w="1388" w:type="pct"/>
            <w:vAlign w:val="bottom"/>
          </w:tcPr>
          <w:p w14:paraId="05FC481C" w14:textId="7E0B5C77" w:rsidR="00290936" w:rsidRPr="00701340"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Calibri" w:hAnsi="Calibri" w:cs="Calibri"/>
                <w:color w:val="000000"/>
              </w:rPr>
              <w:t>-3.3%</w:t>
            </w:r>
          </w:p>
        </w:tc>
      </w:tr>
    </w:tbl>
    <w:p w14:paraId="4CE9E544" w14:textId="3E5CC310" w:rsidR="00F81649" w:rsidRDefault="00290936" w:rsidP="00F81649">
      <w:pPr>
        <w:spacing w:after="0" w:line="240" w:lineRule="auto"/>
        <w:rPr>
          <w:rFonts w:ascii="Arial" w:hAnsi="Arial" w:cs="Arial"/>
          <w:color w:val="000000" w:themeColor="text1"/>
          <w:sz w:val="20"/>
        </w:rPr>
      </w:pPr>
      <w:r>
        <w:rPr>
          <w:rFonts w:ascii="Arial" w:hAnsi="Arial" w:cs="Arial"/>
          <w:color w:val="000000" w:themeColor="text1"/>
          <w:sz w:val="20"/>
        </w:rPr>
        <w:t>Much like the difference between finfish and shellfish, the individual weeks show varying results also</w:t>
      </w:r>
      <w:r w:rsidR="0047126A">
        <w:rPr>
          <w:rFonts w:ascii="Arial" w:hAnsi="Arial" w:cs="Arial"/>
          <w:color w:val="000000" w:themeColor="text1"/>
          <w:sz w:val="20"/>
        </w:rPr>
        <w:t>.</w:t>
      </w:r>
      <w:r>
        <w:rPr>
          <w:rFonts w:ascii="Arial" w:hAnsi="Arial" w:cs="Arial"/>
          <w:color w:val="000000" w:themeColor="text1"/>
          <w:sz w:val="20"/>
        </w:rPr>
        <w:t xml:space="preserve"> The first week of June</w:t>
      </w:r>
      <w:r w:rsidR="0047126A">
        <w:rPr>
          <w:rFonts w:ascii="Arial" w:hAnsi="Arial" w:cs="Arial"/>
          <w:color w:val="000000" w:themeColor="text1"/>
          <w:sz w:val="20"/>
        </w:rPr>
        <w:t xml:space="preserve"> </w:t>
      </w:r>
      <w:r>
        <w:rPr>
          <w:rFonts w:ascii="Arial" w:hAnsi="Arial" w:cs="Arial"/>
          <w:color w:val="000000" w:themeColor="text1"/>
          <w:sz w:val="20"/>
        </w:rPr>
        <w:t>brought dollar and pound gains, whereas the remaining weeks experienced year-over-year pound declines. The declines were deepest during the final week of June.</w:t>
      </w:r>
    </w:p>
    <w:p w14:paraId="1A72EBB8" w14:textId="77777777" w:rsidR="0047126A" w:rsidRDefault="0047126A" w:rsidP="00F81649">
      <w:pPr>
        <w:spacing w:after="0" w:line="240" w:lineRule="auto"/>
        <w:rPr>
          <w:rFonts w:ascii="Arial" w:hAnsi="Arial" w:cs="Arial"/>
          <w:b/>
          <w:color w:val="00857C"/>
          <w:sz w:val="24"/>
          <w:szCs w:val="20"/>
        </w:rPr>
      </w:pPr>
    </w:p>
    <w:p w14:paraId="0D100CAD" w14:textId="2C43E082"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lastRenderedPageBreak/>
        <w:t>Top Species</w:t>
      </w:r>
    </w:p>
    <w:p w14:paraId="60C42216" w14:textId="402F540E" w:rsidR="00AB4847" w:rsidRDefault="00290936" w:rsidP="0013078F">
      <w:pPr>
        <w:pStyle w:val="NoSpacing"/>
        <w:rPr>
          <w:rFonts w:ascii="Arial" w:hAnsi="Arial" w:cs="Arial"/>
          <w:color w:val="000000" w:themeColor="text1"/>
          <w:sz w:val="20"/>
          <w:szCs w:val="20"/>
        </w:rPr>
      </w:pPr>
      <w:r>
        <w:rPr>
          <w:rFonts w:ascii="Arial" w:hAnsi="Arial" w:cs="Arial"/>
          <w:color w:val="000000" w:themeColor="text1"/>
          <w:sz w:val="20"/>
          <w:szCs w:val="20"/>
        </w:rPr>
        <w:t xml:space="preserve">At the species level, the results are very different also. Salmon contributed nearly half of all June sales and delivered dollar and pound growth. </w:t>
      </w:r>
      <w:r w:rsidR="00DA5A12">
        <w:rPr>
          <w:rFonts w:ascii="Arial" w:hAnsi="Arial" w:cs="Arial"/>
          <w:color w:val="000000" w:themeColor="text1"/>
          <w:sz w:val="20"/>
          <w:szCs w:val="20"/>
        </w:rPr>
        <w:t xml:space="preserve">Tilapia, trout and catfish also had very strong June results. Crab, shrimp, and lobster lost ground in pounds, though shrimp and lobster did show slight dollar gains. </w:t>
      </w:r>
    </w:p>
    <w:p w14:paraId="2C0D18DF" w14:textId="77777777" w:rsidR="00DA5A12" w:rsidRDefault="00DA5A12" w:rsidP="0013078F">
      <w:pPr>
        <w:pStyle w:val="NoSpacing"/>
        <w:rPr>
          <w:rFonts w:ascii="Arial" w:hAnsi="Arial" w:cs="Arial"/>
          <w:color w:val="000000" w:themeColor="text1"/>
          <w:sz w:val="20"/>
          <w:szCs w:val="20"/>
        </w:rPr>
      </w:pPr>
    </w:p>
    <w:p w14:paraId="0DE2C565" w14:textId="77777777" w:rsidR="009B28EA" w:rsidRPr="00824750" w:rsidRDefault="009B28EA" w:rsidP="0013078F">
      <w:pPr>
        <w:pStyle w:val="NoSpacing"/>
        <w:rPr>
          <w:rFonts w:ascii="Arial" w:hAnsi="Arial" w:cs="Arial"/>
          <w:color w:val="000000" w:themeColor="text1"/>
          <w:sz w:val="20"/>
          <w:szCs w:val="20"/>
        </w:rPr>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853F3"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77777777" w:rsidR="00C853F3" w:rsidRPr="00A80540" w:rsidRDefault="00C853F3" w:rsidP="00C853F3">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59FEC04F" w:rsidR="00C853F3" w:rsidRPr="00A80540" w:rsidRDefault="00CD7E54"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 2025</w:t>
            </w:r>
          </w:p>
        </w:tc>
        <w:tc>
          <w:tcPr>
            <w:tcW w:w="4320" w:type="dxa"/>
            <w:gridSpan w:val="3"/>
            <w:tcBorders>
              <w:left w:val="nil"/>
            </w:tcBorders>
            <w:shd w:val="clear" w:color="auto" w:fill="17365D" w:themeFill="text2" w:themeFillShade="BF"/>
          </w:tcPr>
          <w:p w14:paraId="11D6C429" w14:textId="02763375"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290936" w:rsidRPr="00B86F96" w14:paraId="16F40298" w14:textId="77777777" w:rsidTr="001714D9">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290936" w:rsidRPr="00290936" w:rsidRDefault="00290936" w:rsidP="00290936">
            <w:pPr>
              <w:pStyle w:val="NoSpacing"/>
              <w:rPr>
                <w:rFonts w:ascii="Arial" w:hAnsi="Arial" w:cs="Arial"/>
                <w:color w:val="000000" w:themeColor="text1"/>
                <w:sz w:val="18"/>
                <w:szCs w:val="18"/>
              </w:rPr>
            </w:pPr>
            <w:r w:rsidRPr="00290936">
              <w:rPr>
                <w:rFonts w:ascii="Arial" w:eastAsia="Times New Roman" w:hAnsi="Arial" w:cs="Arial"/>
                <w:color w:val="000000" w:themeColor="text1"/>
                <w:sz w:val="18"/>
                <w:szCs w:val="18"/>
              </w:rPr>
              <w:t>Total fresh seafood</w:t>
            </w:r>
          </w:p>
        </w:tc>
        <w:tc>
          <w:tcPr>
            <w:tcW w:w="1305" w:type="dxa"/>
            <w:vAlign w:val="bottom"/>
          </w:tcPr>
          <w:p w14:paraId="71D4E4BA" w14:textId="7C694573"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0936">
              <w:rPr>
                <w:rFonts w:ascii="Arial" w:hAnsi="Arial" w:cs="Arial"/>
                <w:color w:val="000000"/>
                <w:sz w:val="18"/>
                <w:szCs w:val="18"/>
              </w:rPr>
              <w:t>$677M</w:t>
            </w:r>
          </w:p>
        </w:tc>
        <w:tc>
          <w:tcPr>
            <w:tcW w:w="1485" w:type="dxa"/>
            <w:vAlign w:val="bottom"/>
          </w:tcPr>
          <w:p w14:paraId="0F57B38D" w14:textId="742FDF11"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0936">
              <w:rPr>
                <w:rFonts w:ascii="Arial" w:hAnsi="Arial" w:cs="Arial"/>
                <w:color w:val="000000"/>
                <w:sz w:val="18"/>
                <w:szCs w:val="18"/>
              </w:rPr>
              <w:t>+0.4%</w:t>
            </w:r>
          </w:p>
        </w:tc>
        <w:tc>
          <w:tcPr>
            <w:tcW w:w="1485" w:type="dxa"/>
            <w:tcBorders>
              <w:right w:val="single" w:sz="4" w:space="0" w:color="auto"/>
            </w:tcBorders>
            <w:vAlign w:val="bottom"/>
          </w:tcPr>
          <w:p w14:paraId="328FE4FE" w14:textId="4C0EC2B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0936">
              <w:rPr>
                <w:rFonts w:ascii="Arial" w:hAnsi="Arial" w:cs="Arial"/>
                <w:color w:val="000000"/>
                <w:sz w:val="18"/>
                <w:szCs w:val="18"/>
              </w:rPr>
              <w:t>-1.5%</w:t>
            </w:r>
          </w:p>
        </w:tc>
        <w:tc>
          <w:tcPr>
            <w:tcW w:w="1485" w:type="dxa"/>
            <w:gridSpan w:val="2"/>
            <w:tcBorders>
              <w:left w:val="single" w:sz="4" w:space="0" w:color="auto"/>
            </w:tcBorders>
            <w:vAlign w:val="bottom"/>
          </w:tcPr>
          <w:p w14:paraId="5550A3A9" w14:textId="0E246624"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0936">
              <w:rPr>
                <w:rFonts w:ascii="Arial" w:hAnsi="Arial" w:cs="Arial"/>
                <w:color w:val="000000"/>
                <w:sz w:val="18"/>
                <w:szCs w:val="18"/>
              </w:rPr>
              <w:t>$8.5B</w:t>
            </w:r>
          </w:p>
        </w:tc>
        <w:tc>
          <w:tcPr>
            <w:tcW w:w="1485" w:type="dxa"/>
            <w:vAlign w:val="bottom"/>
          </w:tcPr>
          <w:p w14:paraId="11A37DDD" w14:textId="29506DD6"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0936">
              <w:rPr>
                <w:rFonts w:ascii="Arial" w:hAnsi="Arial" w:cs="Arial"/>
                <w:color w:val="000000"/>
                <w:sz w:val="18"/>
                <w:szCs w:val="18"/>
              </w:rPr>
              <w:t>+0.6%</w:t>
            </w:r>
          </w:p>
        </w:tc>
        <w:tc>
          <w:tcPr>
            <w:tcW w:w="1395" w:type="dxa"/>
            <w:vAlign w:val="bottom"/>
          </w:tcPr>
          <w:p w14:paraId="4820373D" w14:textId="4A629074"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0936">
              <w:rPr>
                <w:rFonts w:ascii="Arial" w:hAnsi="Arial" w:cs="Arial"/>
                <w:color w:val="000000"/>
                <w:sz w:val="18"/>
                <w:szCs w:val="18"/>
              </w:rPr>
              <w:t>-0.7%</w:t>
            </w:r>
          </w:p>
        </w:tc>
      </w:tr>
      <w:tr w:rsidR="00290936" w:rsidRPr="00F15260" w14:paraId="53921754" w14:textId="77777777" w:rsidTr="001714D9">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290936" w:rsidRPr="00290936" w:rsidRDefault="00290936" w:rsidP="00290936">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Salmon</w:t>
            </w:r>
          </w:p>
        </w:tc>
        <w:tc>
          <w:tcPr>
            <w:tcW w:w="1305" w:type="dxa"/>
            <w:vAlign w:val="bottom"/>
          </w:tcPr>
          <w:p w14:paraId="646CFFE0" w14:textId="67C47256"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$317M</w:t>
            </w:r>
          </w:p>
        </w:tc>
        <w:tc>
          <w:tcPr>
            <w:tcW w:w="1485" w:type="dxa"/>
            <w:vAlign w:val="bottom"/>
          </w:tcPr>
          <w:p w14:paraId="44A1328E" w14:textId="6B8D7C7E"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+2.3%</w:t>
            </w:r>
          </w:p>
        </w:tc>
        <w:tc>
          <w:tcPr>
            <w:tcW w:w="1485" w:type="dxa"/>
            <w:tcBorders>
              <w:right w:val="single" w:sz="4" w:space="0" w:color="auto"/>
            </w:tcBorders>
            <w:vAlign w:val="bottom"/>
          </w:tcPr>
          <w:p w14:paraId="771D46ED" w14:textId="427AE264"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+2.2%</w:t>
            </w:r>
          </w:p>
        </w:tc>
        <w:tc>
          <w:tcPr>
            <w:tcW w:w="1485" w:type="dxa"/>
            <w:gridSpan w:val="2"/>
            <w:tcBorders>
              <w:left w:val="single" w:sz="4" w:space="0" w:color="auto"/>
            </w:tcBorders>
            <w:vAlign w:val="bottom"/>
          </w:tcPr>
          <w:p w14:paraId="3936EE08" w14:textId="692D25AF"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$4.0B</w:t>
            </w:r>
          </w:p>
        </w:tc>
        <w:tc>
          <w:tcPr>
            <w:tcW w:w="1485" w:type="dxa"/>
            <w:vAlign w:val="bottom"/>
          </w:tcPr>
          <w:p w14:paraId="0B566D2B" w14:textId="0D9272AD"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+2.4%</w:t>
            </w:r>
          </w:p>
        </w:tc>
        <w:tc>
          <w:tcPr>
            <w:tcW w:w="1395" w:type="dxa"/>
            <w:vAlign w:val="bottom"/>
          </w:tcPr>
          <w:p w14:paraId="0DA6D04F" w14:textId="3FE4A5E2"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+1.6%</w:t>
            </w:r>
          </w:p>
        </w:tc>
      </w:tr>
      <w:tr w:rsidR="00290936" w:rsidRPr="00F15260" w14:paraId="53108E72" w14:textId="77777777" w:rsidTr="001714D9">
        <w:trPr>
          <w:trHeight w:val="233"/>
        </w:trPr>
        <w:tc>
          <w:tcPr>
            <w:cnfStyle w:val="001000000000" w:firstRow="0" w:lastRow="0" w:firstColumn="1" w:lastColumn="0" w:oddVBand="0" w:evenVBand="0" w:oddHBand="0" w:evenHBand="0" w:firstRowFirstColumn="0" w:firstRowLastColumn="0" w:lastRowFirstColumn="0" w:lastRowLastColumn="0"/>
            <w:tcW w:w="1890" w:type="dxa"/>
          </w:tcPr>
          <w:p w14:paraId="3839264C" w14:textId="77777777" w:rsidR="00290936" w:rsidRPr="00290936" w:rsidRDefault="00290936" w:rsidP="00290936">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Crab</w:t>
            </w:r>
          </w:p>
        </w:tc>
        <w:tc>
          <w:tcPr>
            <w:tcW w:w="1305" w:type="dxa"/>
            <w:vAlign w:val="bottom"/>
          </w:tcPr>
          <w:p w14:paraId="037F078E" w14:textId="1EE4F708"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$75M</w:t>
            </w:r>
          </w:p>
        </w:tc>
        <w:tc>
          <w:tcPr>
            <w:tcW w:w="1485" w:type="dxa"/>
            <w:vAlign w:val="bottom"/>
          </w:tcPr>
          <w:p w14:paraId="3B51932D" w14:textId="54B93F52"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-12.4%</w:t>
            </w:r>
          </w:p>
        </w:tc>
        <w:tc>
          <w:tcPr>
            <w:tcW w:w="1485" w:type="dxa"/>
            <w:tcBorders>
              <w:right w:val="single" w:sz="4" w:space="0" w:color="auto"/>
            </w:tcBorders>
            <w:vAlign w:val="bottom"/>
          </w:tcPr>
          <w:p w14:paraId="4387EEDA" w14:textId="796DF4A6"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-21.4%</w:t>
            </w:r>
          </w:p>
        </w:tc>
        <w:tc>
          <w:tcPr>
            <w:tcW w:w="1485" w:type="dxa"/>
            <w:gridSpan w:val="2"/>
            <w:tcBorders>
              <w:left w:val="single" w:sz="4" w:space="0" w:color="auto"/>
            </w:tcBorders>
            <w:vAlign w:val="bottom"/>
          </w:tcPr>
          <w:p w14:paraId="50E3024D" w14:textId="047B2561"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$1.0B</w:t>
            </w:r>
          </w:p>
        </w:tc>
        <w:tc>
          <w:tcPr>
            <w:tcW w:w="1485" w:type="dxa"/>
            <w:vAlign w:val="bottom"/>
          </w:tcPr>
          <w:p w14:paraId="2FDC2D66" w14:textId="7245366E"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-8.5%</w:t>
            </w:r>
          </w:p>
        </w:tc>
        <w:tc>
          <w:tcPr>
            <w:tcW w:w="1395" w:type="dxa"/>
            <w:vAlign w:val="bottom"/>
          </w:tcPr>
          <w:p w14:paraId="2CC66B56" w14:textId="6CF6F693"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-13.5%</w:t>
            </w:r>
          </w:p>
        </w:tc>
      </w:tr>
      <w:tr w:rsidR="00290936" w:rsidRPr="00F15260" w14:paraId="1C21F2B3" w14:textId="77777777" w:rsidTr="001714D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D1C03F3" w14:textId="77777777" w:rsidR="00290936" w:rsidRPr="00290936" w:rsidRDefault="00290936" w:rsidP="0029093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Shrimp</w:t>
            </w:r>
          </w:p>
        </w:tc>
        <w:tc>
          <w:tcPr>
            <w:tcW w:w="1305" w:type="dxa"/>
            <w:vAlign w:val="bottom"/>
          </w:tcPr>
          <w:p w14:paraId="36D07C29" w14:textId="5C3A12FA"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$74M</w:t>
            </w:r>
          </w:p>
        </w:tc>
        <w:tc>
          <w:tcPr>
            <w:tcW w:w="1485" w:type="dxa"/>
            <w:vAlign w:val="bottom"/>
          </w:tcPr>
          <w:p w14:paraId="77380689" w14:textId="2DEDEE94"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+0.3%</w:t>
            </w:r>
          </w:p>
        </w:tc>
        <w:tc>
          <w:tcPr>
            <w:tcW w:w="1485" w:type="dxa"/>
            <w:tcBorders>
              <w:right w:val="single" w:sz="4" w:space="0" w:color="auto"/>
            </w:tcBorders>
            <w:vAlign w:val="bottom"/>
          </w:tcPr>
          <w:p w14:paraId="3B5FA736" w14:textId="10DC3483"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-2.2%</w:t>
            </w:r>
          </w:p>
        </w:tc>
        <w:tc>
          <w:tcPr>
            <w:tcW w:w="1485" w:type="dxa"/>
            <w:gridSpan w:val="2"/>
            <w:tcBorders>
              <w:left w:val="single" w:sz="4" w:space="0" w:color="auto"/>
            </w:tcBorders>
            <w:vAlign w:val="bottom"/>
          </w:tcPr>
          <w:p w14:paraId="5F9E9CC1" w14:textId="7D048520"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$911M</w:t>
            </w:r>
          </w:p>
        </w:tc>
        <w:tc>
          <w:tcPr>
            <w:tcW w:w="1485" w:type="dxa"/>
            <w:vAlign w:val="bottom"/>
          </w:tcPr>
          <w:p w14:paraId="62F085A8" w14:textId="464618B6"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+2.7%</w:t>
            </w:r>
          </w:p>
        </w:tc>
        <w:tc>
          <w:tcPr>
            <w:tcW w:w="1395" w:type="dxa"/>
            <w:vAlign w:val="bottom"/>
          </w:tcPr>
          <w:p w14:paraId="40446D4D" w14:textId="41BC9802"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+4.0%</w:t>
            </w:r>
          </w:p>
        </w:tc>
      </w:tr>
      <w:tr w:rsidR="00290936" w:rsidRPr="00F15260" w14:paraId="64567971" w14:textId="77777777" w:rsidTr="001714D9">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D4AA469" w14:textId="77777777" w:rsidR="00290936" w:rsidRPr="00290936" w:rsidRDefault="00290936" w:rsidP="0029093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Lobster</w:t>
            </w:r>
          </w:p>
        </w:tc>
        <w:tc>
          <w:tcPr>
            <w:tcW w:w="1305" w:type="dxa"/>
            <w:vAlign w:val="bottom"/>
          </w:tcPr>
          <w:p w14:paraId="0391F756" w14:textId="7E191B3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$34M</w:t>
            </w:r>
          </w:p>
        </w:tc>
        <w:tc>
          <w:tcPr>
            <w:tcW w:w="1485" w:type="dxa"/>
            <w:vAlign w:val="bottom"/>
          </w:tcPr>
          <w:p w14:paraId="11CA51A5" w14:textId="1BE66089"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+3.4%</w:t>
            </w:r>
          </w:p>
        </w:tc>
        <w:tc>
          <w:tcPr>
            <w:tcW w:w="1485" w:type="dxa"/>
            <w:tcBorders>
              <w:right w:val="single" w:sz="4" w:space="0" w:color="auto"/>
            </w:tcBorders>
            <w:vAlign w:val="bottom"/>
          </w:tcPr>
          <w:p w14:paraId="19AAF1A6" w14:textId="2DBE833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-4.5%</w:t>
            </w:r>
          </w:p>
        </w:tc>
        <w:tc>
          <w:tcPr>
            <w:tcW w:w="1485" w:type="dxa"/>
            <w:gridSpan w:val="2"/>
            <w:tcBorders>
              <w:left w:val="single" w:sz="4" w:space="0" w:color="auto"/>
            </w:tcBorders>
            <w:vAlign w:val="bottom"/>
          </w:tcPr>
          <w:p w14:paraId="4E052474" w14:textId="2887440E"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$391M</w:t>
            </w:r>
          </w:p>
        </w:tc>
        <w:tc>
          <w:tcPr>
            <w:tcW w:w="1485" w:type="dxa"/>
            <w:vAlign w:val="bottom"/>
          </w:tcPr>
          <w:p w14:paraId="365443FE" w14:textId="637D9F36"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-0.2%</w:t>
            </w:r>
          </w:p>
        </w:tc>
        <w:tc>
          <w:tcPr>
            <w:tcW w:w="1395" w:type="dxa"/>
            <w:vAlign w:val="bottom"/>
          </w:tcPr>
          <w:p w14:paraId="59C1368C" w14:textId="0E8F8F9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-13.9%</w:t>
            </w:r>
          </w:p>
        </w:tc>
      </w:tr>
      <w:tr w:rsidR="00290936" w:rsidRPr="00F15260" w14:paraId="40530E1E" w14:textId="77777777" w:rsidTr="001714D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942EB05" w14:textId="77777777" w:rsidR="00290936" w:rsidRPr="00290936" w:rsidRDefault="00290936" w:rsidP="0029093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Tilapia</w:t>
            </w:r>
          </w:p>
        </w:tc>
        <w:tc>
          <w:tcPr>
            <w:tcW w:w="1305" w:type="dxa"/>
            <w:vAlign w:val="bottom"/>
          </w:tcPr>
          <w:p w14:paraId="673ED0A4" w14:textId="77777777"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$22M</w:t>
            </w:r>
          </w:p>
        </w:tc>
        <w:tc>
          <w:tcPr>
            <w:tcW w:w="1485" w:type="dxa"/>
            <w:vAlign w:val="bottom"/>
          </w:tcPr>
          <w:p w14:paraId="6FD71BC3" w14:textId="77777777"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+10.0%</w:t>
            </w:r>
          </w:p>
        </w:tc>
        <w:tc>
          <w:tcPr>
            <w:tcW w:w="1485" w:type="dxa"/>
            <w:tcBorders>
              <w:right w:val="single" w:sz="4" w:space="0" w:color="auto"/>
            </w:tcBorders>
            <w:vAlign w:val="bottom"/>
          </w:tcPr>
          <w:p w14:paraId="2A50EF2B" w14:textId="77777777"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+15.0%</w:t>
            </w:r>
          </w:p>
        </w:tc>
        <w:tc>
          <w:tcPr>
            <w:tcW w:w="1485" w:type="dxa"/>
            <w:gridSpan w:val="2"/>
            <w:tcBorders>
              <w:left w:val="single" w:sz="4" w:space="0" w:color="auto"/>
            </w:tcBorders>
            <w:vAlign w:val="bottom"/>
          </w:tcPr>
          <w:p w14:paraId="7DF40AAD" w14:textId="533398B8"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$272M</w:t>
            </w:r>
          </w:p>
        </w:tc>
        <w:tc>
          <w:tcPr>
            <w:tcW w:w="1485" w:type="dxa"/>
            <w:vAlign w:val="bottom"/>
          </w:tcPr>
          <w:p w14:paraId="164A88AF" w14:textId="0A2ECAFF"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+5.7%</w:t>
            </w:r>
          </w:p>
        </w:tc>
        <w:tc>
          <w:tcPr>
            <w:tcW w:w="1395" w:type="dxa"/>
            <w:vAlign w:val="bottom"/>
          </w:tcPr>
          <w:p w14:paraId="446A6289" w14:textId="7B205472"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+10.7%</w:t>
            </w:r>
          </w:p>
        </w:tc>
      </w:tr>
      <w:tr w:rsidR="00290936" w:rsidRPr="00F15260" w14:paraId="3B9C7924" w14:textId="77777777" w:rsidTr="001714D9">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146583B" w14:textId="77777777" w:rsidR="00290936" w:rsidRPr="00290936" w:rsidRDefault="00290936" w:rsidP="0029093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Trout</w:t>
            </w:r>
          </w:p>
        </w:tc>
        <w:tc>
          <w:tcPr>
            <w:tcW w:w="1305" w:type="dxa"/>
            <w:vAlign w:val="bottom"/>
          </w:tcPr>
          <w:p w14:paraId="32B3CCB7" w14:textId="6EFB9720"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$23M</w:t>
            </w:r>
          </w:p>
        </w:tc>
        <w:tc>
          <w:tcPr>
            <w:tcW w:w="1485" w:type="dxa"/>
            <w:vAlign w:val="bottom"/>
          </w:tcPr>
          <w:p w14:paraId="36C156EE" w14:textId="70122728"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+42.3%</w:t>
            </w:r>
          </w:p>
        </w:tc>
        <w:tc>
          <w:tcPr>
            <w:tcW w:w="1485" w:type="dxa"/>
            <w:tcBorders>
              <w:right w:val="single" w:sz="4" w:space="0" w:color="auto"/>
            </w:tcBorders>
            <w:vAlign w:val="bottom"/>
          </w:tcPr>
          <w:p w14:paraId="3230C91F" w14:textId="7F4BE1A1"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+58.4%</w:t>
            </w:r>
          </w:p>
        </w:tc>
        <w:tc>
          <w:tcPr>
            <w:tcW w:w="1485" w:type="dxa"/>
            <w:gridSpan w:val="2"/>
            <w:tcBorders>
              <w:left w:val="single" w:sz="4" w:space="0" w:color="auto"/>
            </w:tcBorders>
            <w:vAlign w:val="bottom"/>
          </w:tcPr>
          <w:p w14:paraId="14A069E1" w14:textId="0F71FFB1"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$263M</w:t>
            </w:r>
          </w:p>
        </w:tc>
        <w:tc>
          <w:tcPr>
            <w:tcW w:w="1485" w:type="dxa"/>
            <w:vAlign w:val="bottom"/>
          </w:tcPr>
          <w:p w14:paraId="690A9861" w14:textId="402E5A0D"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+6.0%</w:t>
            </w:r>
          </w:p>
        </w:tc>
        <w:tc>
          <w:tcPr>
            <w:tcW w:w="1395" w:type="dxa"/>
            <w:vAlign w:val="bottom"/>
          </w:tcPr>
          <w:p w14:paraId="5684B18E" w14:textId="2254A3C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+4.3%</w:t>
            </w:r>
          </w:p>
        </w:tc>
      </w:tr>
      <w:tr w:rsidR="00290936" w:rsidRPr="00F15260" w14:paraId="6A44FC9B" w14:textId="77777777" w:rsidTr="001714D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9A7D47E" w14:textId="77777777" w:rsidR="00290936" w:rsidRPr="00290936" w:rsidRDefault="00290936" w:rsidP="0029093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Cod</w:t>
            </w:r>
          </w:p>
        </w:tc>
        <w:tc>
          <w:tcPr>
            <w:tcW w:w="1305" w:type="dxa"/>
            <w:vAlign w:val="bottom"/>
          </w:tcPr>
          <w:p w14:paraId="668FD5F0" w14:textId="7C4B6A09"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$19M</w:t>
            </w:r>
          </w:p>
        </w:tc>
        <w:tc>
          <w:tcPr>
            <w:tcW w:w="1485" w:type="dxa"/>
            <w:vAlign w:val="bottom"/>
          </w:tcPr>
          <w:p w14:paraId="370F552B" w14:textId="3EE63908"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+3.5%</w:t>
            </w:r>
          </w:p>
        </w:tc>
        <w:tc>
          <w:tcPr>
            <w:tcW w:w="1485" w:type="dxa"/>
            <w:tcBorders>
              <w:right w:val="single" w:sz="4" w:space="0" w:color="auto"/>
            </w:tcBorders>
            <w:vAlign w:val="bottom"/>
          </w:tcPr>
          <w:p w14:paraId="62432B8F" w14:textId="21100C3D"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-1.8%</w:t>
            </w:r>
          </w:p>
        </w:tc>
        <w:tc>
          <w:tcPr>
            <w:tcW w:w="1485" w:type="dxa"/>
            <w:gridSpan w:val="2"/>
            <w:tcBorders>
              <w:left w:val="single" w:sz="4" w:space="0" w:color="auto"/>
            </w:tcBorders>
            <w:vAlign w:val="bottom"/>
          </w:tcPr>
          <w:p w14:paraId="45EAFE17" w14:textId="5F5B1091"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$238M</w:t>
            </w:r>
          </w:p>
        </w:tc>
        <w:tc>
          <w:tcPr>
            <w:tcW w:w="1485" w:type="dxa"/>
            <w:vAlign w:val="bottom"/>
          </w:tcPr>
          <w:p w14:paraId="63229CD5" w14:textId="4D416E27"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+13.5%</w:t>
            </w:r>
          </w:p>
        </w:tc>
        <w:tc>
          <w:tcPr>
            <w:tcW w:w="1395" w:type="dxa"/>
            <w:vAlign w:val="bottom"/>
          </w:tcPr>
          <w:p w14:paraId="41E78779" w14:textId="241D028F" w:rsidR="00290936" w:rsidRPr="00290936" w:rsidRDefault="00290936" w:rsidP="002909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+19.8%</w:t>
            </w:r>
          </w:p>
        </w:tc>
      </w:tr>
      <w:tr w:rsidR="00290936" w:rsidRPr="00F15260" w14:paraId="653995BC" w14:textId="77777777" w:rsidTr="001714D9">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5C7B1EF0" w:rsidR="00290936" w:rsidRPr="00290936" w:rsidRDefault="00290936" w:rsidP="0029093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Catfish</w:t>
            </w:r>
          </w:p>
        </w:tc>
        <w:tc>
          <w:tcPr>
            <w:tcW w:w="1305" w:type="dxa"/>
            <w:vAlign w:val="bottom"/>
          </w:tcPr>
          <w:p w14:paraId="6A9D6AFB" w14:textId="45B18E61"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$17M</w:t>
            </w:r>
          </w:p>
        </w:tc>
        <w:tc>
          <w:tcPr>
            <w:tcW w:w="1485" w:type="dxa"/>
            <w:vAlign w:val="bottom"/>
          </w:tcPr>
          <w:p w14:paraId="341E205C" w14:textId="47AFE898"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+6.5%</w:t>
            </w:r>
          </w:p>
        </w:tc>
        <w:tc>
          <w:tcPr>
            <w:tcW w:w="1485" w:type="dxa"/>
            <w:tcBorders>
              <w:right w:val="single" w:sz="4" w:space="0" w:color="auto"/>
            </w:tcBorders>
            <w:vAlign w:val="bottom"/>
          </w:tcPr>
          <w:p w14:paraId="02CC48F6" w14:textId="4E7C9ED9"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+13.5%</w:t>
            </w:r>
          </w:p>
        </w:tc>
        <w:tc>
          <w:tcPr>
            <w:tcW w:w="1485" w:type="dxa"/>
            <w:gridSpan w:val="2"/>
            <w:tcBorders>
              <w:left w:val="single" w:sz="4" w:space="0" w:color="auto"/>
            </w:tcBorders>
            <w:vAlign w:val="bottom"/>
          </w:tcPr>
          <w:p w14:paraId="7217A92E" w14:textId="62426CA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$213M</w:t>
            </w:r>
          </w:p>
        </w:tc>
        <w:tc>
          <w:tcPr>
            <w:tcW w:w="1485" w:type="dxa"/>
            <w:vAlign w:val="bottom"/>
          </w:tcPr>
          <w:p w14:paraId="10C2432D" w14:textId="622BA84E"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+0.3%</w:t>
            </w:r>
          </w:p>
        </w:tc>
        <w:tc>
          <w:tcPr>
            <w:tcW w:w="1395" w:type="dxa"/>
            <w:vAlign w:val="bottom"/>
          </w:tcPr>
          <w:p w14:paraId="0797CA53" w14:textId="07F7F0EF" w:rsidR="00290936" w:rsidRPr="00290936" w:rsidRDefault="00290936" w:rsidP="002909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0936">
              <w:rPr>
                <w:rFonts w:ascii="Arial" w:hAnsi="Arial" w:cs="Arial"/>
                <w:color w:val="000000"/>
                <w:sz w:val="18"/>
                <w:szCs w:val="18"/>
              </w:rPr>
              <w:t>+2.1%</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007A44BE"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DB70CC8" w14:textId="7A3A01A2" w:rsidR="00395944" w:rsidRDefault="00395944" w:rsidP="00395944">
      <w:pPr>
        <w:pStyle w:val="NoSpacing"/>
        <w:tabs>
          <w:tab w:val="left" w:pos="2972"/>
        </w:tabs>
        <w:rPr>
          <w:rFonts w:ascii="Arial" w:hAnsi="Arial" w:cs="Arial"/>
          <w:b/>
          <w:color w:val="595959" w:themeColor="text1" w:themeTint="A6"/>
          <w:szCs w:val="20"/>
        </w:rPr>
      </w:pPr>
    </w:p>
    <w:p w14:paraId="1866DBA2" w14:textId="57FB304C"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5B9146EC" w:rsidR="005A1DA4" w:rsidRDefault="00BA6703"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The total froze</w:t>
      </w:r>
      <w:r w:rsidR="000941C5">
        <w:rPr>
          <w:rFonts w:ascii="Arial" w:hAnsi="Arial" w:cs="Arial"/>
          <w:color w:val="000000" w:themeColor="text1"/>
          <w:sz w:val="20"/>
          <w:szCs w:val="20"/>
        </w:rPr>
        <w:t>n food department generated $</w:t>
      </w:r>
      <w:r w:rsidR="000565D0">
        <w:rPr>
          <w:rFonts w:ascii="Arial" w:hAnsi="Arial" w:cs="Arial"/>
          <w:color w:val="000000" w:themeColor="text1"/>
          <w:sz w:val="20"/>
          <w:szCs w:val="20"/>
        </w:rPr>
        <w:t>7.0</w:t>
      </w:r>
      <w:r>
        <w:rPr>
          <w:rFonts w:ascii="Arial" w:hAnsi="Arial" w:cs="Arial"/>
          <w:color w:val="000000" w:themeColor="text1"/>
          <w:sz w:val="20"/>
          <w:szCs w:val="20"/>
        </w:rPr>
        <w:t xml:space="preserve"> billion in sales in </w:t>
      </w:r>
      <w:r w:rsidR="007C4ED5">
        <w:rPr>
          <w:rFonts w:ascii="Arial" w:hAnsi="Arial" w:cs="Arial"/>
          <w:color w:val="000000" w:themeColor="text1"/>
          <w:sz w:val="20"/>
          <w:szCs w:val="20"/>
        </w:rPr>
        <w:t xml:space="preserve">the four </w:t>
      </w:r>
      <w:r w:rsidR="000565D0">
        <w:rPr>
          <w:rFonts w:ascii="Arial" w:hAnsi="Arial" w:cs="Arial"/>
          <w:color w:val="000000" w:themeColor="text1"/>
          <w:sz w:val="20"/>
          <w:szCs w:val="20"/>
        </w:rPr>
        <w:t>June</w:t>
      </w:r>
      <w:r w:rsidR="00B94DBE">
        <w:rPr>
          <w:rFonts w:ascii="Arial" w:hAnsi="Arial" w:cs="Arial"/>
          <w:color w:val="000000" w:themeColor="text1"/>
          <w:sz w:val="20"/>
          <w:szCs w:val="20"/>
        </w:rPr>
        <w:t xml:space="preserve"> </w:t>
      </w:r>
      <w:r>
        <w:rPr>
          <w:rFonts w:ascii="Arial" w:hAnsi="Arial" w:cs="Arial"/>
          <w:color w:val="000000" w:themeColor="text1"/>
          <w:sz w:val="20"/>
          <w:szCs w:val="20"/>
        </w:rPr>
        <w:t>weeks.</w:t>
      </w:r>
      <w:r w:rsidR="007C4ED5">
        <w:rPr>
          <w:rFonts w:ascii="Arial" w:hAnsi="Arial" w:cs="Arial"/>
          <w:color w:val="000000" w:themeColor="text1"/>
          <w:sz w:val="20"/>
          <w:szCs w:val="20"/>
        </w:rPr>
        <w:t xml:space="preserve"> </w:t>
      </w:r>
      <w:r w:rsidR="000565D0">
        <w:rPr>
          <w:rFonts w:ascii="Arial" w:hAnsi="Arial" w:cs="Arial"/>
          <w:color w:val="000000" w:themeColor="text1"/>
          <w:sz w:val="20"/>
          <w:szCs w:val="20"/>
        </w:rPr>
        <w:t>The department as a whole grew dollars by about 1% while unit sales were flat. Meat and processed meat far exceeded those department totals with robust gains in dollar and unit sales for both</w:t>
      </w:r>
      <w:r w:rsidR="00F27198">
        <w:rPr>
          <w:rFonts w:ascii="Arial" w:hAnsi="Arial" w:cs="Arial"/>
          <w:color w:val="000000" w:themeColor="text1"/>
          <w:sz w:val="20"/>
          <w:szCs w:val="20"/>
        </w:rPr>
        <w:t>.</w:t>
      </w:r>
      <w:r w:rsidR="000565D0">
        <w:rPr>
          <w:rFonts w:ascii="Arial" w:hAnsi="Arial" w:cs="Arial"/>
          <w:color w:val="000000" w:themeColor="text1"/>
          <w:sz w:val="20"/>
          <w:szCs w:val="20"/>
        </w:rPr>
        <w:t xml:space="preserve"> </w:t>
      </w:r>
      <w:r w:rsidR="00CC0A0D">
        <w:rPr>
          <w:rFonts w:ascii="Arial" w:hAnsi="Arial" w:cs="Arial"/>
          <w:color w:val="000000" w:themeColor="text1"/>
          <w:sz w:val="20"/>
          <w:szCs w:val="20"/>
        </w:rPr>
        <w:t>Inflation helped frozen seafood achieve a slight increase in dollar sales while pounds fell behind June 2024 levels by about 3%.</w:t>
      </w:r>
      <w:r w:rsidR="00F27198">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410"/>
        <w:gridCol w:w="20"/>
        <w:gridCol w:w="1399"/>
        <w:gridCol w:w="1122"/>
        <w:gridCol w:w="1260"/>
        <w:gridCol w:w="1618"/>
        <w:gridCol w:w="96"/>
        <w:gridCol w:w="1075"/>
        <w:gridCol w:w="1165"/>
      </w:tblGrid>
      <w:tr w:rsidR="00C853F3" w:rsidRPr="00FF7600" w14:paraId="71FC3AC2" w14:textId="77777777" w:rsidTr="00E536A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tcBorders>
              <w:bottom w:val="none" w:sz="0" w:space="0" w:color="auto"/>
            </w:tcBorders>
            <w:shd w:val="clear" w:color="auto" w:fill="17365D" w:themeFill="text2" w:themeFillShade="BF"/>
          </w:tcPr>
          <w:p w14:paraId="15EBAC2D" w14:textId="621B42D3" w:rsidR="00C853F3" w:rsidRPr="00FF7600" w:rsidRDefault="00C853F3" w:rsidP="00C853F3">
            <w:pPr>
              <w:pStyle w:val="NoSpacing"/>
              <w:rPr>
                <w:rFonts w:ascii="Arial" w:hAnsi="Arial" w:cs="Arial"/>
                <w:color w:val="FFFFFF" w:themeColor="background1"/>
                <w:sz w:val="18"/>
                <w:szCs w:val="18"/>
              </w:rPr>
            </w:pPr>
          </w:p>
        </w:tc>
        <w:tc>
          <w:tcPr>
            <w:tcW w:w="1870" w:type="pct"/>
            <w:gridSpan w:val="4"/>
            <w:tcBorders>
              <w:bottom w:val="none" w:sz="0" w:space="0" w:color="auto"/>
            </w:tcBorders>
            <w:shd w:val="clear" w:color="auto" w:fill="17365D" w:themeFill="text2" w:themeFillShade="BF"/>
          </w:tcPr>
          <w:p w14:paraId="0D38EDAD" w14:textId="1C17B7A0" w:rsidR="00C853F3" w:rsidRPr="00FF7600" w:rsidRDefault="00CD7E54"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 2025</w:t>
            </w:r>
          </w:p>
        </w:tc>
        <w:tc>
          <w:tcPr>
            <w:tcW w:w="1945" w:type="pct"/>
            <w:gridSpan w:val="4"/>
            <w:tcBorders>
              <w:bottom w:val="none" w:sz="0" w:space="0" w:color="auto"/>
            </w:tcBorders>
            <w:shd w:val="clear" w:color="auto" w:fill="17365D" w:themeFill="text2" w:themeFillShade="BF"/>
          </w:tcPr>
          <w:p w14:paraId="5C02C995" w14:textId="0C36739D" w:rsidR="00C853F3" w:rsidRPr="00FF7600" w:rsidRDefault="00C853F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E536A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98" w:type="pct"/>
            <w:gridSpan w:val="2"/>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3"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D570D2" w:rsidRPr="00E84021" w14:paraId="66677E7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595959" w:themeFill="text1" w:themeFillTint="A6"/>
          </w:tcPr>
          <w:p w14:paraId="59ADA336" w14:textId="77777777" w:rsidR="00D570D2" w:rsidRPr="00E84021" w:rsidRDefault="00D570D2" w:rsidP="00D570D2">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88" w:type="pct"/>
            <w:shd w:val="clear" w:color="auto" w:fill="595959" w:themeFill="text1" w:themeFillTint="A6"/>
          </w:tcPr>
          <w:p w14:paraId="755B3BB6" w14:textId="0CC845EC"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B94DBE">
              <w:rPr>
                <w:rFonts w:ascii="Arial" w:eastAsia="Times New Roman" w:hAnsi="Arial" w:cs="Arial"/>
                <w:b/>
                <w:bCs/>
                <w:color w:val="FFFFFF" w:themeColor="background1"/>
                <w:sz w:val="18"/>
                <w:szCs w:val="18"/>
              </w:rPr>
              <w:t>6.</w:t>
            </w:r>
            <w:r w:rsidR="000565D0">
              <w:rPr>
                <w:rFonts w:ascii="Arial" w:eastAsia="Times New Roman" w:hAnsi="Arial" w:cs="Arial"/>
                <w:b/>
                <w:bCs/>
                <w:color w:val="FFFFFF" w:themeColor="background1"/>
                <w:sz w:val="18"/>
                <w:szCs w:val="18"/>
              </w:rPr>
              <w:t>95</w:t>
            </w:r>
            <w:r w:rsidRPr="00E84021">
              <w:rPr>
                <w:rFonts w:ascii="Arial" w:eastAsia="Times New Roman" w:hAnsi="Arial" w:cs="Arial"/>
                <w:b/>
                <w:bCs/>
                <w:color w:val="FFFFFF" w:themeColor="background1"/>
                <w:sz w:val="18"/>
                <w:szCs w:val="18"/>
              </w:rPr>
              <w:t>B</w:t>
            </w:r>
          </w:p>
        </w:tc>
        <w:tc>
          <w:tcPr>
            <w:tcW w:w="552" w:type="pct"/>
            <w:shd w:val="clear" w:color="auto" w:fill="595959" w:themeFill="text1" w:themeFillTint="A6"/>
          </w:tcPr>
          <w:p w14:paraId="480EA0F0" w14:textId="156619A2" w:rsidR="00D570D2" w:rsidRPr="00E84021" w:rsidRDefault="002C5858"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0565D0">
              <w:rPr>
                <w:rFonts w:ascii="Arial" w:eastAsia="Times New Roman" w:hAnsi="Arial" w:cs="Arial"/>
                <w:b/>
                <w:bCs/>
                <w:color w:val="FFFFFF" w:themeColor="background1"/>
                <w:sz w:val="18"/>
                <w:szCs w:val="18"/>
              </w:rPr>
              <w:t>1.4</w:t>
            </w:r>
            <w:r w:rsidR="00D570D2"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19FAE84D" w:rsidR="00D570D2" w:rsidRPr="00E84021" w:rsidRDefault="000565D0"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-0.1</w:t>
            </w:r>
            <w:r w:rsidR="00D570D2"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3AC7F9DE" w:rsidR="00D570D2" w:rsidRPr="00E84021" w:rsidRDefault="00D570D2" w:rsidP="00D570D2">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2C5858">
              <w:rPr>
                <w:rFonts w:ascii="Arial" w:hAnsi="Arial" w:cs="Arial"/>
                <w:b/>
                <w:bCs/>
                <w:color w:val="FFFFFF" w:themeColor="background1"/>
                <w:sz w:val="18"/>
                <w:szCs w:val="18"/>
              </w:rPr>
              <w:t>8</w:t>
            </w:r>
            <w:r w:rsidR="00B94DBE">
              <w:rPr>
                <w:rFonts w:ascii="Arial" w:hAnsi="Arial" w:cs="Arial"/>
                <w:b/>
                <w:bCs/>
                <w:color w:val="FFFFFF" w:themeColor="background1"/>
                <w:sz w:val="18"/>
                <w:szCs w:val="18"/>
              </w:rPr>
              <w:t>6.</w:t>
            </w:r>
            <w:r w:rsidR="000565D0">
              <w:rPr>
                <w:rFonts w:ascii="Arial" w:hAnsi="Arial" w:cs="Arial"/>
                <w:b/>
                <w:bCs/>
                <w:color w:val="FFFFFF" w:themeColor="background1"/>
                <w:sz w:val="18"/>
                <w:szCs w:val="18"/>
              </w:rPr>
              <w:t>5</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79EBC073"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0565D0">
              <w:rPr>
                <w:rFonts w:ascii="Arial" w:hAnsi="Arial" w:cs="Arial"/>
                <w:b/>
                <w:bCs/>
                <w:color w:val="FFFFFF" w:themeColor="background1"/>
                <w:sz w:val="18"/>
                <w:szCs w:val="18"/>
              </w:rPr>
              <w:t>2.0</w:t>
            </w:r>
            <w:r w:rsidRPr="00E84021">
              <w:rPr>
                <w:rFonts w:ascii="Arial" w:hAnsi="Arial" w:cs="Arial"/>
                <w:b/>
                <w:bCs/>
                <w:color w:val="FFFFFF" w:themeColor="background1"/>
                <w:sz w:val="18"/>
                <w:szCs w:val="18"/>
              </w:rPr>
              <w:t>%</w:t>
            </w:r>
          </w:p>
        </w:tc>
        <w:tc>
          <w:tcPr>
            <w:tcW w:w="573" w:type="pct"/>
            <w:shd w:val="clear" w:color="auto" w:fill="595959" w:themeFill="text1" w:themeFillTint="A6"/>
          </w:tcPr>
          <w:p w14:paraId="5AF7904B" w14:textId="392D3FCA"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0565D0">
              <w:rPr>
                <w:rFonts w:ascii="Arial" w:eastAsia="Times New Roman" w:hAnsi="Arial" w:cs="Arial"/>
                <w:b/>
                <w:bCs/>
                <w:color w:val="FFFFFF" w:themeColor="background1"/>
                <w:sz w:val="18"/>
                <w:szCs w:val="18"/>
              </w:rPr>
              <w:t>1.1</w:t>
            </w:r>
            <w:r w:rsidRPr="00E84021">
              <w:rPr>
                <w:rFonts w:ascii="Arial" w:eastAsia="Times New Roman" w:hAnsi="Arial" w:cs="Arial"/>
                <w:b/>
                <w:bCs/>
                <w:color w:val="FFFFFF" w:themeColor="background1"/>
                <w:sz w:val="18"/>
                <w:szCs w:val="18"/>
              </w:rPr>
              <w:t>%</w:t>
            </w:r>
          </w:p>
        </w:tc>
      </w:tr>
      <w:tr w:rsidR="00D570D2" w:rsidRPr="0093290D" w14:paraId="45EE1A0E"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B6B6051"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88" w:type="pct"/>
            <w:shd w:val="clear" w:color="auto" w:fill="BFBFBF" w:themeFill="background1" w:themeFillShade="BF"/>
          </w:tcPr>
          <w:p w14:paraId="515AC909" w14:textId="1C8B3767"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r w:rsidR="00D5653C">
              <w:rPr>
                <w:rFonts w:ascii="Arial" w:eastAsia="Times New Roman" w:hAnsi="Arial" w:cs="Arial"/>
                <w:color w:val="000000" w:themeColor="text1"/>
                <w:sz w:val="18"/>
                <w:szCs w:val="18"/>
              </w:rPr>
              <w:t>2.</w:t>
            </w:r>
            <w:r w:rsidR="00B94DBE">
              <w:rPr>
                <w:rFonts w:ascii="Arial" w:eastAsia="Times New Roman" w:hAnsi="Arial" w:cs="Arial"/>
                <w:color w:val="000000" w:themeColor="text1"/>
                <w:sz w:val="18"/>
                <w:szCs w:val="18"/>
              </w:rPr>
              <w:t>1</w:t>
            </w:r>
            <w:r w:rsidR="00D570D2">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1ECB1145"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0.1</w:t>
            </w:r>
            <w:r w:rsidR="00D570D2" w:rsidRPr="00760BBB">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56375695"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1.4</w:t>
            </w:r>
            <w:r w:rsidR="00D570D2" w:rsidRPr="00760BBB">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7C253E3B"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3EFE">
              <w:rPr>
                <w:rFonts w:ascii="Arial" w:eastAsia="Times New Roman" w:hAnsi="Arial" w:cs="Arial"/>
                <w:color w:val="000000" w:themeColor="text1"/>
                <w:sz w:val="18"/>
                <w:szCs w:val="18"/>
              </w:rPr>
              <w:t>$</w:t>
            </w:r>
            <w:r w:rsidR="002C5858">
              <w:rPr>
                <w:rFonts w:ascii="Arial" w:eastAsia="Times New Roman" w:hAnsi="Arial" w:cs="Arial"/>
                <w:color w:val="000000" w:themeColor="text1"/>
                <w:sz w:val="18"/>
                <w:szCs w:val="18"/>
              </w:rPr>
              <w:t>28.2</w:t>
            </w:r>
            <w:r w:rsidRPr="00A23EFE">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4733FCF9"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874E2E">
              <w:rPr>
                <w:rFonts w:ascii="Arial" w:hAnsi="Arial" w:cs="Arial"/>
                <w:color w:val="000000" w:themeColor="text1"/>
                <w:sz w:val="18"/>
                <w:szCs w:val="18"/>
              </w:rPr>
              <w:t>0.</w:t>
            </w:r>
            <w:r w:rsidR="000565D0">
              <w:rPr>
                <w:rFonts w:ascii="Arial" w:hAnsi="Arial" w:cs="Arial"/>
                <w:color w:val="000000" w:themeColor="text1"/>
                <w:sz w:val="18"/>
                <w:szCs w:val="18"/>
              </w:rPr>
              <w:t>8</w:t>
            </w:r>
            <w:r w:rsidRPr="003A358D">
              <w:rPr>
                <w:rFonts w:ascii="Arial" w:hAnsi="Arial" w:cs="Arial"/>
                <w:color w:val="000000" w:themeColor="text1"/>
                <w:sz w:val="18"/>
                <w:szCs w:val="18"/>
              </w:rPr>
              <w:t>%</w:t>
            </w:r>
          </w:p>
        </w:tc>
        <w:tc>
          <w:tcPr>
            <w:tcW w:w="573" w:type="pct"/>
            <w:shd w:val="clear" w:color="auto" w:fill="BFBFBF" w:themeFill="background1" w:themeFillShade="BF"/>
          </w:tcPr>
          <w:p w14:paraId="35562C4B" w14:textId="3DAEF928"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2C5858">
              <w:rPr>
                <w:rFonts w:ascii="Arial" w:hAnsi="Arial" w:cs="Arial"/>
                <w:color w:val="000000" w:themeColor="text1"/>
                <w:sz w:val="18"/>
                <w:szCs w:val="18"/>
              </w:rPr>
              <w:t>0.</w:t>
            </w:r>
            <w:r w:rsidR="000565D0">
              <w:rPr>
                <w:rFonts w:ascii="Arial" w:hAnsi="Arial" w:cs="Arial"/>
                <w:color w:val="000000" w:themeColor="text1"/>
                <w:sz w:val="18"/>
                <w:szCs w:val="18"/>
              </w:rPr>
              <w:t>9</w:t>
            </w:r>
            <w:r w:rsidRPr="003A358D">
              <w:rPr>
                <w:rFonts w:ascii="Arial" w:hAnsi="Arial" w:cs="Arial"/>
                <w:color w:val="000000" w:themeColor="text1"/>
                <w:sz w:val="18"/>
                <w:szCs w:val="18"/>
              </w:rPr>
              <w:t>%</w:t>
            </w:r>
          </w:p>
        </w:tc>
      </w:tr>
      <w:tr w:rsidR="00D570D2" w:rsidRPr="0093290D" w14:paraId="33BAD93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6635218E"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Seafood</w:t>
            </w:r>
          </w:p>
        </w:tc>
        <w:tc>
          <w:tcPr>
            <w:tcW w:w="688" w:type="pct"/>
          </w:tcPr>
          <w:p w14:paraId="1F552D30" w14:textId="59353794"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B94DBE">
              <w:rPr>
                <w:rFonts w:ascii="Arial" w:eastAsia="Times New Roman" w:hAnsi="Arial" w:cs="Arial"/>
                <w:color w:val="000000" w:themeColor="text1"/>
                <w:sz w:val="18"/>
                <w:szCs w:val="18"/>
              </w:rPr>
              <w:t>6</w:t>
            </w:r>
            <w:r w:rsidR="000565D0">
              <w:rPr>
                <w:rFonts w:ascii="Arial" w:eastAsia="Times New Roman" w:hAnsi="Arial" w:cs="Arial"/>
                <w:color w:val="000000" w:themeColor="text1"/>
                <w:sz w:val="18"/>
                <w:szCs w:val="18"/>
              </w:rPr>
              <w:t>31</w:t>
            </w:r>
            <w:r w:rsidR="00D5653C">
              <w:rPr>
                <w:rFonts w:ascii="Arial" w:eastAsia="Times New Roman" w:hAnsi="Arial" w:cs="Arial"/>
                <w:color w:val="000000" w:themeColor="text1"/>
                <w:sz w:val="18"/>
                <w:szCs w:val="18"/>
              </w:rPr>
              <w:t>M</w:t>
            </w:r>
          </w:p>
        </w:tc>
        <w:tc>
          <w:tcPr>
            <w:tcW w:w="552" w:type="pct"/>
          </w:tcPr>
          <w:p w14:paraId="21B353CB" w14:textId="681A1026" w:rsidR="00D570D2" w:rsidRPr="0093290D" w:rsidRDefault="00D5653C"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0.7</w:t>
            </w:r>
            <w:r w:rsidR="00D570D2" w:rsidRPr="00760BBB">
              <w:rPr>
                <w:rFonts w:ascii="Arial" w:hAnsi="Arial" w:cs="Arial"/>
                <w:color w:val="000000" w:themeColor="text1"/>
                <w:sz w:val="18"/>
                <w:szCs w:val="18"/>
              </w:rPr>
              <w:t>%</w:t>
            </w:r>
          </w:p>
        </w:tc>
        <w:tc>
          <w:tcPr>
            <w:tcW w:w="620" w:type="pct"/>
            <w:tcBorders>
              <w:right w:val="single" w:sz="4" w:space="0" w:color="auto"/>
            </w:tcBorders>
          </w:tcPr>
          <w:p w14:paraId="77A265EA" w14:textId="7023A8C0" w:rsidR="00D570D2" w:rsidRPr="0093290D" w:rsidRDefault="000565D0"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-2.9</w:t>
            </w:r>
            <w:r w:rsidRPr="00760BBB">
              <w:rPr>
                <w:rFonts w:ascii="Arial" w:hAnsi="Arial" w:cs="Arial"/>
                <w:color w:val="000000" w:themeColor="text1"/>
                <w:sz w:val="18"/>
                <w:szCs w:val="18"/>
              </w:rPr>
              <w:t>%</w:t>
            </w:r>
          </w:p>
        </w:tc>
        <w:tc>
          <w:tcPr>
            <w:tcW w:w="796" w:type="pct"/>
            <w:tcBorders>
              <w:left w:val="single" w:sz="4" w:space="0" w:color="auto"/>
            </w:tcBorders>
          </w:tcPr>
          <w:p w14:paraId="2C2CB3AD" w14:textId="21E3740C"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2C5858">
              <w:rPr>
                <w:rFonts w:ascii="Arial" w:eastAsia="Times New Roman" w:hAnsi="Arial" w:cs="Arial"/>
                <w:color w:val="000000" w:themeColor="text1"/>
                <w:sz w:val="18"/>
                <w:szCs w:val="18"/>
              </w:rPr>
              <w:t>8.</w:t>
            </w:r>
            <w:r w:rsidR="000565D0">
              <w:rPr>
                <w:rFonts w:ascii="Arial" w:eastAsia="Times New Roman" w:hAnsi="Arial" w:cs="Arial"/>
                <w:color w:val="000000" w:themeColor="text1"/>
                <w:sz w:val="18"/>
                <w:szCs w:val="18"/>
              </w:rPr>
              <w:t>4</w:t>
            </w:r>
            <w:r w:rsidRPr="00A56E3D">
              <w:rPr>
                <w:rFonts w:ascii="Arial" w:eastAsia="Times New Roman" w:hAnsi="Arial" w:cs="Arial"/>
                <w:color w:val="000000" w:themeColor="text1"/>
                <w:sz w:val="18"/>
                <w:szCs w:val="18"/>
              </w:rPr>
              <w:t>B</w:t>
            </w:r>
          </w:p>
        </w:tc>
        <w:tc>
          <w:tcPr>
            <w:tcW w:w="576" w:type="pct"/>
            <w:gridSpan w:val="2"/>
          </w:tcPr>
          <w:p w14:paraId="49F5BC74" w14:textId="3DC055A2" w:rsidR="00D570D2" w:rsidRPr="0093290D" w:rsidRDefault="00B94DBE"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2.5</w:t>
            </w:r>
            <w:r w:rsidR="00D570D2" w:rsidRPr="003A358D">
              <w:rPr>
                <w:rFonts w:ascii="Arial" w:hAnsi="Arial" w:cs="Arial"/>
                <w:color w:val="000000" w:themeColor="text1"/>
                <w:sz w:val="18"/>
                <w:szCs w:val="18"/>
              </w:rPr>
              <w:t>%</w:t>
            </w:r>
          </w:p>
        </w:tc>
        <w:tc>
          <w:tcPr>
            <w:tcW w:w="573" w:type="pct"/>
          </w:tcPr>
          <w:p w14:paraId="734B885A" w14:textId="6758F9F7"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1.7</w:t>
            </w:r>
            <w:r w:rsidR="00D570D2" w:rsidRPr="003A358D">
              <w:rPr>
                <w:rFonts w:ascii="Arial" w:hAnsi="Arial" w:cs="Arial"/>
                <w:color w:val="000000" w:themeColor="text1"/>
                <w:sz w:val="18"/>
                <w:szCs w:val="18"/>
              </w:rPr>
              <w:t>%</w:t>
            </w:r>
          </w:p>
        </w:tc>
      </w:tr>
      <w:tr w:rsidR="00D570D2" w:rsidRPr="0093290D" w14:paraId="00BC5C90"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22BB17A" w14:textId="49032C75"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/poultry</w:t>
            </w:r>
          </w:p>
        </w:tc>
        <w:tc>
          <w:tcPr>
            <w:tcW w:w="688" w:type="pct"/>
            <w:shd w:val="clear" w:color="auto" w:fill="BFBFBF" w:themeFill="background1" w:themeFillShade="BF"/>
          </w:tcPr>
          <w:p w14:paraId="01446C64" w14:textId="227AEC20"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0565D0">
              <w:rPr>
                <w:rFonts w:ascii="Arial" w:eastAsia="Times New Roman" w:hAnsi="Arial" w:cs="Arial"/>
                <w:color w:val="000000" w:themeColor="text1"/>
                <w:sz w:val="18"/>
                <w:szCs w:val="18"/>
              </w:rPr>
              <w:t>606</w:t>
            </w:r>
            <w:r w:rsidRPr="006001C5">
              <w:rPr>
                <w:rFonts w:ascii="Arial" w:eastAsia="Times New Roman" w:hAnsi="Arial" w:cs="Arial"/>
                <w:color w:val="000000" w:themeColor="text1"/>
                <w:sz w:val="18"/>
                <w:szCs w:val="18"/>
              </w:rPr>
              <w:t>M</w:t>
            </w:r>
          </w:p>
        </w:tc>
        <w:tc>
          <w:tcPr>
            <w:tcW w:w="552" w:type="pct"/>
            <w:shd w:val="clear" w:color="auto" w:fill="BFBFBF" w:themeFill="background1" w:themeFillShade="BF"/>
          </w:tcPr>
          <w:p w14:paraId="38FEEE5A" w14:textId="7128B679"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8.3</w:t>
            </w:r>
            <w:r w:rsidR="00D570D2" w:rsidRPr="00760BBB">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270ACB1D" w14:textId="5AF39D81"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6.5</w:t>
            </w:r>
            <w:r w:rsidR="00D570D2">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641EE35C" w14:textId="7FD5502A"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7C4ED5">
              <w:rPr>
                <w:rFonts w:ascii="Arial" w:eastAsia="Times New Roman" w:hAnsi="Arial" w:cs="Arial"/>
                <w:color w:val="000000" w:themeColor="text1"/>
                <w:sz w:val="18"/>
                <w:szCs w:val="18"/>
              </w:rPr>
              <w:t>7.</w:t>
            </w:r>
            <w:r w:rsidR="000565D0">
              <w:rPr>
                <w:rFonts w:ascii="Arial" w:eastAsia="Times New Roman" w:hAnsi="Arial" w:cs="Arial"/>
                <w:color w:val="000000" w:themeColor="text1"/>
                <w:sz w:val="18"/>
                <w:szCs w:val="18"/>
              </w:rPr>
              <w:t>8</w:t>
            </w:r>
            <w:r w:rsidRPr="00A56E3D">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100539BC" w14:textId="02175065"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11.4</w:t>
            </w:r>
            <w:r w:rsidR="00D570D2" w:rsidRPr="003A358D">
              <w:rPr>
                <w:rFonts w:ascii="Arial" w:hAnsi="Arial" w:cs="Arial"/>
                <w:color w:val="000000" w:themeColor="text1"/>
                <w:sz w:val="18"/>
                <w:szCs w:val="18"/>
              </w:rPr>
              <w:t>%</w:t>
            </w:r>
          </w:p>
        </w:tc>
        <w:tc>
          <w:tcPr>
            <w:tcW w:w="573" w:type="pct"/>
            <w:shd w:val="clear" w:color="auto" w:fill="BFBFBF" w:themeFill="background1" w:themeFillShade="BF"/>
          </w:tcPr>
          <w:p w14:paraId="338497B2" w14:textId="69BC4F7C"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9.8</w:t>
            </w:r>
            <w:r w:rsidR="00D570D2" w:rsidRPr="003A358D">
              <w:rPr>
                <w:rFonts w:ascii="Arial" w:hAnsi="Arial" w:cs="Arial"/>
                <w:color w:val="000000" w:themeColor="text1"/>
                <w:sz w:val="18"/>
                <w:szCs w:val="18"/>
              </w:rPr>
              <w:t>%</w:t>
            </w:r>
          </w:p>
        </w:tc>
      </w:tr>
      <w:tr w:rsidR="00D570D2" w:rsidRPr="0093290D" w14:paraId="58CCACA8"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5537AC12"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88" w:type="pct"/>
          </w:tcPr>
          <w:p w14:paraId="53D10B60" w14:textId="2FAB7C1B"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B94DBE">
              <w:rPr>
                <w:rFonts w:ascii="Arial" w:eastAsia="Times New Roman" w:hAnsi="Arial" w:cs="Arial"/>
                <w:color w:val="000000" w:themeColor="text1"/>
                <w:sz w:val="18"/>
                <w:szCs w:val="18"/>
              </w:rPr>
              <w:t>5</w:t>
            </w:r>
            <w:r w:rsidR="000565D0">
              <w:rPr>
                <w:rFonts w:ascii="Arial" w:eastAsia="Times New Roman" w:hAnsi="Arial" w:cs="Arial"/>
                <w:color w:val="000000" w:themeColor="text1"/>
                <w:sz w:val="18"/>
                <w:szCs w:val="18"/>
              </w:rPr>
              <w:t>73</w:t>
            </w:r>
            <w:r w:rsidRPr="006001C5">
              <w:rPr>
                <w:rFonts w:ascii="Arial" w:eastAsia="Times New Roman" w:hAnsi="Arial" w:cs="Arial"/>
                <w:color w:val="000000" w:themeColor="text1"/>
                <w:sz w:val="18"/>
                <w:szCs w:val="18"/>
              </w:rPr>
              <w:t>M</w:t>
            </w:r>
          </w:p>
        </w:tc>
        <w:tc>
          <w:tcPr>
            <w:tcW w:w="552" w:type="pct"/>
          </w:tcPr>
          <w:p w14:paraId="15AE4934" w14:textId="50965939"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3.0</w:t>
            </w:r>
            <w:r w:rsidR="00D570D2" w:rsidRPr="00760BBB">
              <w:rPr>
                <w:rFonts w:ascii="Arial" w:hAnsi="Arial" w:cs="Arial"/>
                <w:color w:val="000000" w:themeColor="text1"/>
                <w:sz w:val="18"/>
                <w:szCs w:val="18"/>
              </w:rPr>
              <w:t>%</w:t>
            </w:r>
          </w:p>
        </w:tc>
        <w:tc>
          <w:tcPr>
            <w:tcW w:w="620" w:type="pct"/>
            <w:tcBorders>
              <w:right w:val="single" w:sz="4" w:space="0" w:color="auto"/>
            </w:tcBorders>
          </w:tcPr>
          <w:p w14:paraId="5A3B15DF" w14:textId="35CA795C"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3.5</w:t>
            </w:r>
            <w:r w:rsidR="00D570D2">
              <w:rPr>
                <w:rFonts w:ascii="Arial" w:hAnsi="Arial" w:cs="Arial"/>
                <w:color w:val="000000" w:themeColor="text1"/>
                <w:sz w:val="18"/>
                <w:szCs w:val="18"/>
              </w:rPr>
              <w:t>%</w:t>
            </w:r>
          </w:p>
        </w:tc>
        <w:tc>
          <w:tcPr>
            <w:tcW w:w="796" w:type="pct"/>
            <w:tcBorders>
              <w:left w:val="single" w:sz="4" w:space="0" w:color="auto"/>
            </w:tcBorders>
          </w:tcPr>
          <w:p w14:paraId="27C2FEE1" w14:textId="5C7EB9E4"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7C4ED5">
              <w:rPr>
                <w:rFonts w:ascii="Arial" w:eastAsia="Times New Roman" w:hAnsi="Arial" w:cs="Arial"/>
                <w:color w:val="000000" w:themeColor="text1"/>
                <w:sz w:val="18"/>
                <w:szCs w:val="18"/>
              </w:rPr>
              <w:t>6.7</w:t>
            </w:r>
            <w:r w:rsidRPr="00A56E3D">
              <w:rPr>
                <w:rFonts w:ascii="Arial" w:eastAsia="Times New Roman" w:hAnsi="Arial" w:cs="Arial"/>
                <w:color w:val="000000" w:themeColor="text1"/>
                <w:sz w:val="18"/>
                <w:szCs w:val="18"/>
              </w:rPr>
              <w:t>B</w:t>
            </w:r>
          </w:p>
        </w:tc>
        <w:tc>
          <w:tcPr>
            <w:tcW w:w="576" w:type="pct"/>
            <w:gridSpan w:val="2"/>
          </w:tcPr>
          <w:p w14:paraId="7EB8C2AB" w14:textId="63EF5A4E"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5.3</w:t>
            </w:r>
            <w:r w:rsidR="00D570D2" w:rsidRPr="003A358D">
              <w:rPr>
                <w:rFonts w:ascii="Arial" w:hAnsi="Arial" w:cs="Arial"/>
                <w:color w:val="000000" w:themeColor="text1"/>
                <w:sz w:val="18"/>
                <w:szCs w:val="18"/>
              </w:rPr>
              <w:t>%</w:t>
            </w:r>
          </w:p>
        </w:tc>
        <w:tc>
          <w:tcPr>
            <w:tcW w:w="573" w:type="pct"/>
          </w:tcPr>
          <w:p w14:paraId="11111E86" w14:textId="6E8AE5F5"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565D0">
              <w:rPr>
                <w:rFonts w:ascii="Arial" w:hAnsi="Arial" w:cs="Arial"/>
                <w:color w:val="000000" w:themeColor="text1"/>
                <w:sz w:val="18"/>
                <w:szCs w:val="18"/>
              </w:rPr>
              <w:t>4</w:t>
            </w:r>
            <w:r w:rsidR="0053357C">
              <w:rPr>
                <w:rFonts w:ascii="Arial" w:hAnsi="Arial" w:cs="Arial"/>
                <w:color w:val="000000" w:themeColor="text1"/>
                <w:sz w:val="18"/>
                <w:szCs w:val="18"/>
              </w:rPr>
              <w:t>.</w:t>
            </w:r>
            <w:r w:rsidR="00B94DBE">
              <w:rPr>
                <w:rFonts w:ascii="Arial" w:hAnsi="Arial" w:cs="Arial"/>
                <w:color w:val="000000" w:themeColor="text1"/>
                <w:sz w:val="18"/>
                <w:szCs w:val="18"/>
              </w:rPr>
              <w:t>3</w:t>
            </w:r>
            <w:r w:rsidR="00D570D2" w:rsidRPr="003A358D">
              <w:rPr>
                <w:rFonts w:ascii="Arial" w:hAnsi="Arial" w:cs="Arial"/>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32C3CB1A" w:rsidR="00F97C2B" w:rsidRDefault="00CC0A0D" w:rsidP="004970F6">
      <w:pPr>
        <w:pStyle w:val="NoSpacing"/>
        <w:rPr>
          <w:rFonts w:ascii="Arial" w:hAnsi="Arial" w:cs="Arial"/>
          <w:color w:val="000000" w:themeColor="text1"/>
          <w:sz w:val="20"/>
          <w:szCs w:val="20"/>
        </w:rPr>
      </w:pPr>
      <w:r>
        <w:rPr>
          <w:rFonts w:ascii="Arial" w:hAnsi="Arial" w:cs="Arial"/>
          <w:color w:val="000000" w:themeColor="text1"/>
          <w:sz w:val="20"/>
          <w:szCs w:val="20"/>
        </w:rPr>
        <w:t>With the Easter shift, both frozen shellfish and finfish gained year-over-year</w:t>
      </w:r>
      <w:r w:rsidR="00545CB0">
        <w:rPr>
          <w:rFonts w:ascii="Arial" w:hAnsi="Arial" w:cs="Arial"/>
          <w:color w:val="000000" w:themeColor="text1"/>
          <w:sz w:val="20"/>
          <w:szCs w:val="20"/>
        </w:rPr>
        <w:t>.</w:t>
      </w:r>
      <w:r>
        <w:rPr>
          <w:rFonts w:ascii="Arial" w:hAnsi="Arial" w:cs="Arial"/>
          <w:color w:val="000000" w:themeColor="text1"/>
          <w:sz w:val="20"/>
          <w:szCs w:val="20"/>
        </w:rPr>
        <w:t xml:space="preserve"> June looked a bit different, with finfish outperforming shellfish, much like seen on the fresh/refrigerated side.</w:t>
      </w:r>
      <w:r w:rsidR="00545CB0">
        <w:rPr>
          <w:rFonts w:ascii="Arial" w:hAnsi="Arial" w:cs="Arial"/>
          <w:color w:val="000000" w:themeColor="text1"/>
          <w:sz w:val="20"/>
          <w:szCs w:val="20"/>
        </w:rPr>
        <w:t xml:space="preserve">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980" w:type="dxa"/>
        <w:tblBorders>
          <w:top w:val="none" w:sz="0" w:space="0" w:color="auto"/>
          <w:bottom w:val="none" w:sz="0" w:space="0" w:color="auto"/>
        </w:tblBorders>
        <w:tblLayout w:type="fixed"/>
        <w:tblLook w:val="04A0" w:firstRow="1" w:lastRow="0" w:firstColumn="1" w:lastColumn="0" w:noHBand="0" w:noVBand="1"/>
      </w:tblPr>
      <w:tblGrid>
        <w:gridCol w:w="1297"/>
        <w:gridCol w:w="114"/>
        <w:gridCol w:w="720"/>
        <w:gridCol w:w="711"/>
        <w:gridCol w:w="712"/>
        <w:gridCol w:w="712"/>
        <w:gridCol w:w="720"/>
        <w:gridCol w:w="720"/>
        <w:gridCol w:w="864"/>
        <w:gridCol w:w="864"/>
        <w:gridCol w:w="864"/>
        <w:gridCol w:w="810"/>
        <w:gridCol w:w="864"/>
        <w:gridCol w:w="1008"/>
      </w:tblGrid>
      <w:tr w:rsidR="00CC0A0D" w:rsidRPr="00124BCF" w14:paraId="045CB233" w14:textId="77777777" w:rsidTr="00CC0A0D">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97" w:type="dxa"/>
            <w:shd w:val="clear" w:color="auto" w:fill="17365D" w:themeFill="text2" w:themeFillShade="BF"/>
          </w:tcPr>
          <w:p w14:paraId="382655BC" w14:textId="77777777" w:rsidR="00CC0A0D" w:rsidRPr="00545CB0" w:rsidRDefault="00CC0A0D" w:rsidP="00CC0A0D">
            <w:pPr>
              <w:pStyle w:val="NoSpacing"/>
              <w:rPr>
                <w:rFonts w:ascii="Arial" w:hAnsi="Arial" w:cs="Arial"/>
                <w:color w:val="FFFFFF" w:themeColor="background1"/>
                <w:sz w:val="18"/>
                <w:szCs w:val="18"/>
              </w:rPr>
            </w:pPr>
            <w:r w:rsidRPr="00545CB0">
              <w:rPr>
                <w:rFonts w:ascii="Arial" w:hAnsi="Arial" w:cs="Arial"/>
                <w:color w:val="FFFFFF" w:themeColor="background1"/>
                <w:sz w:val="18"/>
                <w:szCs w:val="18"/>
              </w:rPr>
              <w:t>Dollar sales</w:t>
            </w:r>
          </w:p>
        </w:tc>
        <w:tc>
          <w:tcPr>
            <w:tcW w:w="834" w:type="dxa"/>
            <w:gridSpan w:val="2"/>
            <w:shd w:val="clear" w:color="auto" w:fill="17365D" w:themeFill="text2" w:themeFillShade="BF"/>
            <w:vAlign w:val="center"/>
          </w:tcPr>
          <w:p w14:paraId="31B3EF87" w14:textId="77777777" w:rsidR="00CC0A0D" w:rsidRPr="00545CB0" w:rsidRDefault="00CC0A0D" w:rsidP="00CC0A0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2020</w:t>
            </w:r>
          </w:p>
        </w:tc>
        <w:tc>
          <w:tcPr>
            <w:tcW w:w="711" w:type="dxa"/>
            <w:shd w:val="clear" w:color="auto" w:fill="17365D" w:themeFill="text2" w:themeFillShade="BF"/>
            <w:vAlign w:val="center"/>
          </w:tcPr>
          <w:p w14:paraId="5EF8ECE7"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2021</w:t>
            </w:r>
          </w:p>
        </w:tc>
        <w:tc>
          <w:tcPr>
            <w:tcW w:w="712" w:type="dxa"/>
            <w:shd w:val="clear" w:color="auto" w:fill="17365D" w:themeFill="text2" w:themeFillShade="BF"/>
            <w:vAlign w:val="center"/>
          </w:tcPr>
          <w:p w14:paraId="0EA5321D"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2022</w:t>
            </w:r>
          </w:p>
        </w:tc>
        <w:tc>
          <w:tcPr>
            <w:tcW w:w="712" w:type="dxa"/>
            <w:shd w:val="clear" w:color="auto" w:fill="17365D" w:themeFill="text2" w:themeFillShade="BF"/>
            <w:vAlign w:val="center"/>
          </w:tcPr>
          <w:p w14:paraId="72802DFE"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2023</w:t>
            </w:r>
          </w:p>
        </w:tc>
        <w:tc>
          <w:tcPr>
            <w:tcW w:w="720" w:type="dxa"/>
            <w:shd w:val="clear" w:color="auto" w:fill="17365D" w:themeFill="text2" w:themeFillShade="BF"/>
            <w:vAlign w:val="center"/>
          </w:tcPr>
          <w:p w14:paraId="3A71509A"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2024</w:t>
            </w:r>
          </w:p>
        </w:tc>
        <w:tc>
          <w:tcPr>
            <w:tcW w:w="720" w:type="dxa"/>
            <w:shd w:val="clear" w:color="auto" w:fill="17365D" w:themeFill="text2" w:themeFillShade="BF"/>
            <w:vAlign w:val="center"/>
          </w:tcPr>
          <w:p w14:paraId="282DEA01" w14:textId="4C4E07C9"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color w:val="FFFFFF" w:themeColor="background1"/>
                <w:sz w:val="18"/>
                <w:szCs w:val="18"/>
              </w:rPr>
              <w:t>Q3 24</w:t>
            </w:r>
          </w:p>
        </w:tc>
        <w:tc>
          <w:tcPr>
            <w:tcW w:w="864" w:type="dxa"/>
            <w:shd w:val="clear" w:color="auto" w:fill="17365D" w:themeFill="text2" w:themeFillShade="BF"/>
            <w:vAlign w:val="center"/>
          </w:tcPr>
          <w:p w14:paraId="0476FBD6" w14:textId="181C7FB1"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bCs w:val="0"/>
                <w:color w:val="FFFFFF" w:themeColor="background1"/>
                <w:sz w:val="18"/>
                <w:szCs w:val="18"/>
              </w:rPr>
              <w:t>Q4 24</w:t>
            </w:r>
          </w:p>
        </w:tc>
        <w:tc>
          <w:tcPr>
            <w:tcW w:w="864" w:type="dxa"/>
            <w:shd w:val="clear" w:color="auto" w:fill="17365D" w:themeFill="text2" w:themeFillShade="BF"/>
            <w:vAlign w:val="center"/>
          </w:tcPr>
          <w:p w14:paraId="63A8018E" w14:textId="055EE052"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Q1 25</w:t>
            </w:r>
          </w:p>
        </w:tc>
        <w:tc>
          <w:tcPr>
            <w:tcW w:w="864" w:type="dxa"/>
            <w:shd w:val="clear" w:color="auto" w:fill="17365D" w:themeFill="text2" w:themeFillShade="BF"/>
            <w:vAlign w:val="center"/>
          </w:tcPr>
          <w:p w14:paraId="3F5082FF" w14:textId="25A27506"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w:t>
            </w:r>
            <w:r>
              <w:rPr>
                <w:rFonts w:ascii="Arial" w:hAnsi="Arial" w:cs="Arial"/>
                <w:bCs w:val="0"/>
                <w:color w:val="FFFFFF" w:themeColor="background1"/>
                <w:sz w:val="18"/>
                <w:szCs w:val="18"/>
              </w:rPr>
              <w:t>2</w:t>
            </w:r>
            <w:r w:rsidRPr="00545CB0">
              <w:rPr>
                <w:rFonts w:ascii="Arial" w:hAnsi="Arial" w:cs="Arial"/>
                <w:bCs w:val="0"/>
                <w:color w:val="FFFFFF" w:themeColor="background1"/>
                <w:sz w:val="18"/>
                <w:szCs w:val="18"/>
              </w:rPr>
              <w:t xml:space="preserve"> 25</w:t>
            </w:r>
          </w:p>
        </w:tc>
        <w:tc>
          <w:tcPr>
            <w:tcW w:w="810" w:type="dxa"/>
            <w:shd w:val="clear" w:color="auto" w:fill="17365D" w:themeFill="text2" w:themeFillShade="BF"/>
            <w:vAlign w:val="center"/>
          </w:tcPr>
          <w:p w14:paraId="0EBE4562" w14:textId="00CACBF8"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Jun</w:t>
            </w:r>
            <w:r w:rsidRPr="00545CB0">
              <w:rPr>
                <w:rFonts w:ascii="Arial" w:hAnsi="Arial" w:cs="Arial"/>
                <w:bCs w:val="0"/>
                <w:color w:val="FFFFFF" w:themeColor="background1"/>
                <w:sz w:val="18"/>
                <w:szCs w:val="18"/>
              </w:rPr>
              <w:t xml:space="preserve"> 25</w:t>
            </w:r>
          </w:p>
        </w:tc>
        <w:tc>
          <w:tcPr>
            <w:tcW w:w="864" w:type="dxa"/>
            <w:shd w:val="clear" w:color="auto" w:fill="17365D" w:themeFill="text2" w:themeFillShade="BF"/>
            <w:vAlign w:val="center"/>
          </w:tcPr>
          <w:p w14:paraId="347884CA"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 </w:t>
            </w:r>
            <w:r w:rsidRPr="00545CB0">
              <w:rPr>
                <w:rFonts w:ascii="Arial" w:hAnsi="Arial" w:cs="Arial"/>
                <w:bCs w:val="0"/>
                <w:color w:val="FFFFFF" w:themeColor="background1"/>
                <w:sz w:val="18"/>
                <w:szCs w:val="18"/>
              </w:rPr>
              <w:br/>
              <w:t>vs YA</w:t>
            </w:r>
          </w:p>
        </w:tc>
        <w:tc>
          <w:tcPr>
            <w:tcW w:w="1008" w:type="dxa"/>
            <w:shd w:val="clear" w:color="auto" w:fill="17365D" w:themeFill="text2" w:themeFillShade="BF"/>
            <w:vAlign w:val="center"/>
          </w:tcPr>
          <w:p w14:paraId="0E8AF81A"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Pounds </w:t>
            </w:r>
            <w:r w:rsidRPr="00545CB0">
              <w:rPr>
                <w:rFonts w:ascii="Arial" w:hAnsi="Arial" w:cs="Arial"/>
                <w:bCs w:val="0"/>
                <w:color w:val="FFFFFF" w:themeColor="background1"/>
                <w:sz w:val="18"/>
                <w:szCs w:val="18"/>
              </w:rPr>
              <w:br/>
              <w:t>vs YA</w:t>
            </w:r>
          </w:p>
        </w:tc>
      </w:tr>
      <w:tr w:rsidR="00CC0A0D" w:rsidRPr="000562A3" w14:paraId="4371B11D" w14:textId="77777777" w:rsidTr="00CC0A0D">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595959" w:themeFill="text1" w:themeFillTint="A6"/>
            <w:vAlign w:val="center"/>
          </w:tcPr>
          <w:p w14:paraId="732CFD34" w14:textId="0F89DF46" w:rsidR="00CC0A0D" w:rsidRPr="00545CB0" w:rsidRDefault="00CC0A0D" w:rsidP="00CC0A0D">
            <w:pPr>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Fz seafood</w:t>
            </w:r>
          </w:p>
        </w:tc>
        <w:tc>
          <w:tcPr>
            <w:tcW w:w="720" w:type="dxa"/>
            <w:shd w:val="clear" w:color="auto" w:fill="595959" w:themeFill="text1" w:themeFillTint="A6"/>
            <w:vAlign w:val="center"/>
          </w:tcPr>
          <w:p w14:paraId="1FFABA50"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+38%</w:t>
            </w:r>
          </w:p>
        </w:tc>
        <w:tc>
          <w:tcPr>
            <w:tcW w:w="711" w:type="dxa"/>
            <w:shd w:val="clear" w:color="auto" w:fill="595959" w:themeFill="text1" w:themeFillTint="A6"/>
            <w:vAlign w:val="center"/>
          </w:tcPr>
          <w:p w14:paraId="70CA63CE"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+2%</w:t>
            </w:r>
          </w:p>
        </w:tc>
        <w:tc>
          <w:tcPr>
            <w:tcW w:w="712" w:type="dxa"/>
            <w:shd w:val="clear" w:color="auto" w:fill="595959" w:themeFill="text1" w:themeFillTint="A6"/>
            <w:vAlign w:val="center"/>
          </w:tcPr>
          <w:p w14:paraId="1F63C063"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bCs/>
                <w:color w:val="FFFFFF" w:themeColor="background1"/>
                <w:sz w:val="18"/>
                <w:szCs w:val="18"/>
              </w:rPr>
              <w:t>-1%</w:t>
            </w:r>
          </w:p>
        </w:tc>
        <w:tc>
          <w:tcPr>
            <w:tcW w:w="712" w:type="dxa"/>
            <w:shd w:val="clear" w:color="auto" w:fill="595959" w:themeFill="text1" w:themeFillTint="A6"/>
            <w:vAlign w:val="center"/>
          </w:tcPr>
          <w:p w14:paraId="50D854D4"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-4%</w:t>
            </w:r>
          </w:p>
        </w:tc>
        <w:tc>
          <w:tcPr>
            <w:tcW w:w="720" w:type="dxa"/>
            <w:shd w:val="clear" w:color="auto" w:fill="595959" w:themeFill="text1" w:themeFillTint="A6"/>
            <w:vAlign w:val="center"/>
          </w:tcPr>
          <w:p w14:paraId="163B3211" w14:textId="44A056F3"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-3%</w:t>
            </w:r>
          </w:p>
        </w:tc>
        <w:tc>
          <w:tcPr>
            <w:tcW w:w="720" w:type="dxa"/>
            <w:shd w:val="clear" w:color="auto" w:fill="595959" w:themeFill="text1" w:themeFillTint="A6"/>
            <w:vAlign w:val="center"/>
          </w:tcPr>
          <w:p w14:paraId="77FC82F9" w14:textId="0B886C06"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-2%</w:t>
            </w:r>
          </w:p>
        </w:tc>
        <w:tc>
          <w:tcPr>
            <w:tcW w:w="864" w:type="dxa"/>
            <w:shd w:val="clear" w:color="auto" w:fill="595959" w:themeFill="text1" w:themeFillTint="A6"/>
            <w:vAlign w:val="center"/>
          </w:tcPr>
          <w:p w14:paraId="2D3991A1" w14:textId="50AA9CEA"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-1.0%</w:t>
            </w:r>
          </w:p>
        </w:tc>
        <w:tc>
          <w:tcPr>
            <w:tcW w:w="864" w:type="dxa"/>
            <w:shd w:val="clear" w:color="auto" w:fill="595959" w:themeFill="text1" w:themeFillTint="A6"/>
            <w:vAlign w:val="center"/>
          </w:tcPr>
          <w:p w14:paraId="14949B0B" w14:textId="47F8EE6D"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-0.1%</w:t>
            </w:r>
          </w:p>
        </w:tc>
        <w:tc>
          <w:tcPr>
            <w:tcW w:w="864" w:type="dxa"/>
            <w:shd w:val="clear" w:color="auto" w:fill="595959" w:themeFill="text1" w:themeFillTint="A6"/>
            <w:vAlign w:val="center"/>
          </w:tcPr>
          <w:p w14:paraId="240CA866" w14:textId="639DE26A"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18"/>
              </w:rPr>
              <w:t>+5.3%</w:t>
            </w:r>
          </w:p>
        </w:tc>
        <w:tc>
          <w:tcPr>
            <w:tcW w:w="810" w:type="dxa"/>
            <w:shd w:val="clear" w:color="auto" w:fill="595959" w:themeFill="text1" w:themeFillTint="A6"/>
            <w:vAlign w:val="center"/>
          </w:tcPr>
          <w:p w14:paraId="14A51BC3" w14:textId="431C091A"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w:t>
            </w:r>
            <w:r>
              <w:rPr>
                <w:rFonts w:ascii="Arial" w:eastAsia="Times New Roman" w:hAnsi="Arial" w:cs="Arial"/>
                <w:color w:val="FFFFFF" w:themeColor="background1"/>
                <w:sz w:val="18"/>
                <w:szCs w:val="18"/>
              </w:rPr>
              <w:t>631M</w:t>
            </w:r>
          </w:p>
        </w:tc>
        <w:tc>
          <w:tcPr>
            <w:tcW w:w="864" w:type="dxa"/>
            <w:shd w:val="clear" w:color="auto" w:fill="595959" w:themeFill="text1" w:themeFillTint="A6"/>
            <w:vAlign w:val="center"/>
          </w:tcPr>
          <w:p w14:paraId="1D26BEFD" w14:textId="1C8EE2B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w:t>
            </w:r>
            <w:r>
              <w:rPr>
                <w:rFonts w:ascii="Arial" w:hAnsi="Arial" w:cs="Arial"/>
                <w:color w:val="FFFFFF" w:themeColor="background1"/>
                <w:sz w:val="18"/>
                <w:szCs w:val="18"/>
              </w:rPr>
              <w:t>0.7</w:t>
            </w:r>
            <w:r w:rsidRPr="00545CB0">
              <w:rPr>
                <w:rFonts w:ascii="Arial" w:hAnsi="Arial" w:cs="Arial"/>
                <w:color w:val="FFFFFF" w:themeColor="background1"/>
                <w:sz w:val="18"/>
                <w:szCs w:val="18"/>
              </w:rPr>
              <w:t>%</w:t>
            </w:r>
          </w:p>
        </w:tc>
        <w:tc>
          <w:tcPr>
            <w:tcW w:w="1008" w:type="dxa"/>
            <w:shd w:val="clear" w:color="auto" w:fill="595959" w:themeFill="text1" w:themeFillTint="A6"/>
            <w:vAlign w:val="center"/>
          </w:tcPr>
          <w:p w14:paraId="7279BDC2" w14:textId="6665E4B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-2.5</w:t>
            </w:r>
            <w:r w:rsidRPr="00545CB0">
              <w:rPr>
                <w:rFonts w:ascii="Arial" w:hAnsi="Arial" w:cs="Arial"/>
                <w:color w:val="FFFFFF" w:themeColor="background1"/>
                <w:sz w:val="18"/>
                <w:szCs w:val="18"/>
              </w:rPr>
              <w:t>%</w:t>
            </w:r>
          </w:p>
        </w:tc>
      </w:tr>
      <w:tr w:rsidR="00CC0A0D" w:rsidRPr="00FA2F0F" w14:paraId="3EA70345" w14:textId="77777777" w:rsidTr="00CC0A0D">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7BA48644"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Shellfish</w:t>
            </w:r>
          </w:p>
        </w:tc>
        <w:tc>
          <w:tcPr>
            <w:tcW w:w="720" w:type="dxa"/>
            <w:vAlign w:val="center"/>
          </w:tcPr>
          <w:p w14:paraId="71BFCBA5"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+42%</w:t>
            </w:r>
          </w:p>
        </w:tc>
        <w:tc>
          <w:tcPr>
            <w:tcW w:w="711" w:type="dxa"/>
            <w:vAlign w:val="center"/>
          </w:tcPr>
          <w:p w14:paraId="65F47D56"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6F794AF1"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-5%</w:t>
            </w:r>
          </w:p>
        </w:tc>
        <w:tc>
          <w:tcPr>
            <w:tcW w:w="712" w:type="dxa"/>
            <w:vAlign w:val="center"/>
          </w:tcPr>
          <w:p w14:paraId="1B3D05AD"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-6%</w:t>
            </w:r>
          </w:p>
        </w:tc>
        <w:tc>
          <w:tcPr>
            <w:tcW w:w="720" w:type="dxa"/>
            <w:vAlign w:val="center"/>
          </w:tcPr>
          <w:p w14:paraId="0F0F76B9" w14:textId="39873284"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-3%</w:t>
            </w:r>
          </w:p>
        </w:tc>
        <w:tc>
          <w:tcPr>
            <w:tcW w:w="720" w:type="dxa"/>
            <w:vAlign w:val="center"/>
          </w:tcPr>
          <w:p w14:paraId="5F4A4583" w14:textId="25816F5F"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864" w:type="dxa"/>
            <w:vAlign w:val="center"/>
          </w:tcPr>
          <w:p w14:paraId="3F59962B" w14:textId="47DD4080"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-3.2%</w:t>
            </w:r>
          </w:p>
        </w:tc>
        <w:tc>
          <w:tcPr>
            <w:tcW w:w="864" w:type="dxa"/>
            <w:vAlign w:val="center"/>
          </w:tcPr>
          <w:p w14:paraId="6AE2D8D1" w14:textId="3EA723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+0.4%</w:t>
            </w:r>
          </w:p>
        </w:tc>
        <w:tc>
          <w:tcPr>
            <w:tcW w:w="864" w:type="dxa"/>
            <w:vAlign w:val="center"/>
          </w:tcPr>
          <w:p w14:paraId="1BA4CB08" w14:textId="02D8B9E1"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+5.3%</w:t>
            </w:r>
          </w:p>
        </w:tc>
        <w:tc>
          <w:tcPr>
            <w:tcW w:w="810" w:type="dxa"/>
            <w:vAlign w:val="center"/>
          </w:tcPr>
          <w:p w14:paraId="1C0DA430" w14:textId="3CFB98D4"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369</w:t>
            </w:r>
            <w:r w:rsidRPr="00CC0A0D">
              <w:rPr>
                <w:rFonts w:ascii="Arial" w:eastAsia="Times New Roman" w:hAnsi="Arial" w:cs="Arial"/>
                <w:color w:val="000000" w:themeColor="text1"/>
                <w:sz w:val="18"/>
                <w:szCs w:val="18"/>
              </w:rPr>
              <w:t>M</w:t>
            </w:r>
          </w:p>
        </w:tc>
        <w:tc>
          <w:tcPr>
            <w:tcW w:w="864" w:type="dxa"/>
            <w:vAlign w:val="center"/>
          </w:tcPr>
          <w:p w14:paraId="52607458" w14:textId="054CFEAB"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Pr>
                <w:rFonts w:ascii="Arial" w:hAnsi="Arial" w:cs="Arial"/>
                <w:color w:val="000000" w:themeColor="text1"/>
                <w:sz w:val="18"/>
                <w:szCs w:val="18"/>
              </w:rPr>
              <w:t>0.0</w:t>
            </w:r>
            <w:r w:rsidRPr="00CC0A0D">
              <w:rPr>
                <w:rFonts w:ascii="Arial" w:hAnsi="Arial" w:cs="Arial"/>
                <w:color w:val="000000" w:themeColor="text1"/>
                <w:sz w:val="18"/>
                <w:szCs w:val="18"/>
              </w:rPr>
              <w:t>%</w:t>
            </w:r>
          </w:p>
        </w:tc>
        <w:tc>
          <w:tcPr>
            <w:tcW w:w="1008" w:type="dxa"/>
            <w:vAlign w:val="center"/>
          </w:tcPr>
          <w:p w14:paraId="595C2291" w14:textId="3BD5B638"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-4.5</w:t>
            </w:r>
            <w:r w:rsidRPr="00CC0A0D">
              <w:rPr>
                <w:rFonts w:ascii="Arial" w:hAnsi="Arial" w:cs="Arial"/>
                <w:color w:val="000000" w:themeColor="text1"/>
                <w:sz w:val="18"/>
                <w:szCs w:val="18"/>
              </w:rPr>
              <w:t>%</w:t>
            </w:r>
          </w:p>
        </w:tc>
      </w:tr>
      <w:tr w:rsidR="00CC0A0D" w:rsidRPr="00FA2F0F" w14:paraId="5735DC78" w14:textId="77777777" w:rsidTr="00CC0A0D">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8354BCE"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Finfish</w:t>
            </w:r>
          </w:p>
        </w:tc>
        <w:tc>
          <w:tcPr>
            <w:tcW w:w="720" w:type="dxa"/>
            <w:shd w:val="clear" w:color="auto" w:fill="D9D9D9" w:themeFill="background1" w:themeFillShade="D9"/>
            <w:vAlign w:val="center"/>
          </w:tcPr>
          <w:p w14:paraId="1FA9DA3B"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+32%</w:t>
            </w:r>
          </w:p>
        </w:tc>
        <w:tc>
          <w:tcPr>
            <w:tcW w:w="711" w:type="dxa"/>
            <w:shd w:val="clear" w:color="auto" w:fill="D9D9D9" w:themeFill="background1" w:themeFillShade="D9"/>
            <w:vAlign w:val="center"/>
          </w:tcPr>
          <w:p w14:paraId="5225CC58"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w:t>
            </w:r>
          </w:p>
        </w:tc>
        <w:tc>
          <w:tcPr>
            <w:tcW w:w="712" w:type="dxa"/>
            <w:shd w:val="clear" w:color="auto" w:fill="D9D9D9" w:themeFill="background1" w:themeFillShade="D9"/>
            <w:vAlign w:val="center"/>
          </w:tcPr>
          <w:p w14:paraId="0F1D2DAE"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+7%</w:t>
            </w:r>
          </w:p>
        </w:tc>
        <w:tc>
          <w:tcPr>
            <w:tcW w:w="712" w:type="dxa"/>
            <w:shd w:val="clear" w:color="auto" w:fill="D9D9D9" w:themeFill="background1" w:themeFillShade="D9"/>
            <w:vAlign w:val="center"/>
          </w:tcPr>
          <w:p w14:paraId="6D6E1A4A"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-2%</w:t>
            </w:r>
          </w:p>
        </w:tc>
        <w:tc>
          <w:tcPr>
            <w:tcW w:w="720" w:type="dxa"/>
            <w:shd w:val="clear" w:color="auto" w:fill="D9D9D9" w:themeFill="background1" w:themeFillShade="D9"/>
            <w:vAlign w:val="center"/>
          </w:tcPr>
          <w:p w14:paraId="33F37DEC" w14:textId="17077BE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-1%</w:t>
            </w:r>
          </w:p>
        </w:tc>
        <w:tc>
          <w:tcPr>
            <w:tcW w:w="720" w:type="dxa"/>
            <w:shd w:val="clear" w:color="auto" w:fill="D9D9D9" w:themeFill="background1" w:themeFillShade="D9"/>
            <w:vAlign w:val="center"/>
          </w:tcPr>
          <w:p w14:paraId="1F329616" w14:textId="33BCAF2E"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w:t>
            </w:r>
          </w:p>
        </w:tc>
        <w:tc>
          <w:tcPr>
            <w:tcW w:w="864" w:type="dxa"/>
            <w:shd w:val="clear" w:color="auto" w:fill="D9D9D9" w:themeFill="background1" w:themeFillShade="D9"/>
            <w:vAlign w:val="center"/>
          </w:tcPr>
          <w:p w14:paraId="72B48B2D" w14:textId="5D251C88"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+1.8%</w:t>
            </w:r>
          </w:p>
        </w:tc>
        <w:tc>
          <w:tcPr>
            <w:tcW w:w="864" w:type="dxa"/>
            <w:shd w:val="clear" w:color="auto" w:fill="D9D9D9" w:themeFill="background1" w:themeFillShade="D9"/>
            <w:vAlign w:val="center"/>
          </w:tcPr>
          <w:p w14:paraId="134C3E9A" w14:textId="51D920A0"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-1.1%</w:t>
            </w:r>
          </w:p>
        </w:tc>
        <w:tc>
          <w:tcPr>
            <w:tcW w:w="864" w:type="dxa"/>
            <w:shd w:val="clear" w:color="auto" w:fill="D9D9D9" w:themeFill="background1" w:themeFillShade="D9"/>
            <w:vAlign w:val="center"/>
          </w:tcPr>
          <w:p w14:paraId="6F0A5A28" w14:textId="1887261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+5.6%</w:t>
            </w:r>
          </w:p>
        </w:tc>
        <w:tc>
          <w:tcPr>
            <w:tcW w:w="810" w:type="dxa"/>
            <w:shd w:val="clear" w:color="auto" w:fill="D9D9D9" w:themeFill="background1" w:themeFillShade="D9"/>
            <w:vAlign w:val="center"/>
          </w:tcPr>
          <w:p w14:paraId="7B31A3EB" w14:textId="516F6CA0"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241</w:t>
            </w:r>
            <w:r w:rsidRPr="00CC0A0D">
              <w:rPr>
                <w:rFonts w:ascii="Arial" w:eastAsia="Times New Roman" w:hAnsi="Arial" w:cs="Arial"/>
                <w:color w:val="000000" w:themeColor="text1"/>
                <w:sz w:val="18"/>
                <w:szCs w:val="18"/>
              </w:rPr>
              <w:t>M</w:t>
            </w:r>
          </w:p>
        </w:tc>
        <w:tc>
          <w:tcPr>
            <w:tcW w:w="864" w:type="dxa"/>
            <w:shd w:val="clear" w:color="auto" w:fill="D9D9D9" w:themeFill="background1" w:themeFillShade="D9"/>
            <w:vAlign w:val="center"/>
          </w:tcPr>
          <w:p w14:paraId="3A6A6416" w14:textId="5DC24040"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Pr>
                <w:rFonts w:ascii="Arial" w:hAnsi="Arial" w:cs="Arial"/>
                <w:color w:val="000000" w:themeColor="text1"/>
                <w:sz w:val="18"/>
                <w:szCs w:val="18"/>
              </w:rPr>
              <w:t>3.1</w:t>
            </w:r>
            <w:r w:rsidRPr="00CC0A0D">
              <w:rPr>
                <w:rFonts w:ascii="Arial" w:hAnsi="Arial" w:cs="Arial"/>
                <w:color w:val="000000" w:themeColor="text1"/>
                <w:sz w:val="18"/>
                <w:szCs w:val="18"/>
              </w:rPr>
              <w:t>%</w:t>
            </w:r>
          </w:p>
        </w:tc>
        <w:tc>
          <w:tcPr>
            <w:tcW w:w="1008" w:type="dxa"/>
            <w:shd w:val="clear" w:color="auto" w:fill="D9D9D9" w:themeFill="background1" w:themeFillShade="D9"/>
            <w:vAlign w:val="center"/>
          </w:tcPr>
          <w:p w14:paraId="1E8E6142" w14:textId="614EEB51"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Pr>
                <w:rFonts w:ascii="Arial" w:hAnsi="Arial" w:cs="Arial"/>
                <w:color w:val="000000" w:themeColor="text1"/>
                <w:sz w:val="18"/>
                <w:szCs w:val="18"/>
              </w:rPr>
              <w:t>1.9</w:t>
            </w:r>
            <w:r w:rsidRPr="00CC0A0D">
              <w:rPr>
                <w:rFonts w:ascii="Arial" w:hAnsi="Arial" w:cs="Arial"/>
                <w:color w:val="000000" w:themeColor="text1"/>
                <w:sz w:val="18"/>
                <w:szCs w:val="18"/>
              </w:rPr>
              <w:t>%</w:t>
            </w:r>
          </w:p>
        </w:tc>
      </w:tr>
      <w:tr w:rsidR="00CC0A0D" w:rsidRPr="00FA2F0F" w14:paraId="712EA03E" w14:textId="77777777" w:rsidTr="00CC0A0D">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4857C9F9"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All other frozen seafood</w:t>
            </w:r>
          </w:p>
        </w:tc>
        <w:tc>
          <w:tcPr>
            <w:tcW w:w="720" w:type="dxa"/>
            <w:vAlign w:val="center"/>
          </w:tcPr>
          <w:p w14:paraId="6AEC4240"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+36%</w:t>
            </w:r>
          </w:p>
        </w:tc>
        <w:tc>
          <w:tcPr>
            <w:tcW w:w="711" w:type="dxa"/>
            <w:vAlign w:val="center"/>
          </w:tcPr>
          <w:p w14:paraId="04B68791"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+6%</w:t>
            </w:r>
          </w:p>
        </w:tc>
        <w:tc>
          <w:tcPr>
            <w:tcW w:w="712" w:type="dxa"/>
            <w:vAlign w:val="center"/>
          </w:tcPr>
          <w:p w14:paraId="697B71F5"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3FCFAB41"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+3%</w:t>
            </w:r>
          </w:p>
        </w:tc>
        <w:tc>
          <w:tcPr>
            <w:tcW w:w="720" w:type="dxa"/>
            <w:vAlign w:val="center"/>
          </w:tcPr>
          <w:p w14:paraId="1CE9C1FE" w14:textId="64370F60"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-4%</w:t>
            </w:r>
          </w:p>
        </w:tc>
        <w:tc>
          <w:tcPr>
            <w:tcW w:w="720" w:type="dxa"/>
            <w:vAlign w:val="center"/>
          </w:tcPr>
          <w:p w14:paraId="4EC3FDE5" w14:textId="606E8BD9"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-7%</w:t>
            </w:r>
          </w:p>
        </w:tc>
        <w:tc>
          <w:tcPr>
            <w:tcW w:w="864" w:type="dxa"/>
            <w:vAlign w:val="center"/>
          </w:tcPr>
          <w:p w14:paraId="4FF0251D" w14:textId="405E9161"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+12.8%</w:t>
            </w:r>
          </w:p>
        </w:tc>
        <w:tc>
          <w:tcPr>
            <w:tcW w:w="864" w:type="dxa"/>
            <w:vAlign w:val="center"/>
          </w:tcPr>
          <w:p w14:paraId="4ACCAB17" w14:textId="0E5528B3"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+6.2%</w:t>
            </w:r>
          </w:p>
        </w:tc>
        <w:tc>
          <w:tcPr>
            <w:tcW w:w="864" w:type="dxa"/>
            <w:vAlign w:val="center"/>
          </w:tcPr>
          <w:p w14:paraId="28CC7E3A" w14:textId="03DC958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+1.4%</w:t>
            </w:r>
          </w:p>
        </w:tc>
        <w:tc>
          <w:tcPr>
            <w:tcW w:w="810" w:type="dxa"/>
            <w:vAlign w:val="center"/>
          </w:tcPr>
          <w:p w14:paraId="48134DFD" w14:textId="366CC4C8"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20</w:t>
            </w:r>
            <w:r w:rsidRPr="00CC0A0D">
              <w:rPr>
                <w:rFonts w:ascii="Arial" w:eastAsia="Times New Roman" w:hAnsi="Arial" w:cs="Arial"/>
                <w:color w:val="000000" w:themeColor="text1"/>
                <w:sz w:val="18"/>
                <w:szCs w:val="18"/>
              </w:rPr>
              <w:t>M</w:t>
            </w:r>
          </w:p>
        </w:tc>
        <w:tc>
          <w:tcPr>
            <w:tcW w:w="864" w:type="dxa"/>
            <w:vAlign w:val="center"/>
          </w:tcPr>
          <w:p w14:paraId="27A3B15D" w14:textId="290E4360"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-11.2</w:t>
            </w:r>
            <w:r w:rsidRPr="00CC0A0D">
              <w:rPr>
                <w:rFonts w:ascii="Arial" w:hAnsi="Arial" w:cs="Arial"/>
                <w:color w:val="000000" w:themeColor="text1"/>
                <w:sz w:val="18"/>
                <w:szCs w:val="18"/>
              </w:rPr>
              <w:t>%</w:t>
            </w:r>
          </w:p>
        </w:tc>
        <w:tc>
          <w:tcPr>
            <w:tcW w:w="1008" w:type="dxa"/>
            <w:vAlign w:val="center"/>
          </w:tcPr>
          <w:p w14:paraId="4DD7F714" w14:textId="4FF631AE"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-19.9</w:t>
            </w:r>
            <w:r w:rsidRPr="00CC0A0D">
              <w:rPr>
                <w:rFonts w:ascii="Arial" w:hAnsi="Arial" w:cs="Arial"/>
                <w:color w:val="000000" w:themeColor="text1"/>
                <w:sz w:val="18"/>
                <w:szCs w:val="18"/>
              </w:rPr>
              <w:t>%</w:t>
            </w:r>
          </w:p>
        </w:tc>
      </w:tr>
      <w:tr w:rsidR="00CC0A0D" w:rsidRPr="00FA2F0F" w14:paraId="0F5C9896" w14:textId="77777777" w:rsidTr="00CC0A0D">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4C64C88"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Seafood alternatives</w:t>
            </w:r>
          </w:p>
        </w:tc>
        <w:tc>
          <w:tcPr>
            <w:tcW w:w="720" w:type="dxa"/>
            <w:shd w:val="clear" w:color="auto" w:fill="D9D9D9" w:themeFill="background1" w:themeFillShade="D9"/>
            <w:vAlign w:val="center"/>
          </w:tcPr>
          <w:p w14:paraId="6672C75C"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+22%</w:t>
            </w:r>
          </w:p>
        </w:tc>
        <w:tc>
          <w:tcPr>
            <w:tcW w:w="711" w:type="dxa"/>
            <w:shd w:val="clear" w:color="auto" w:fill="D9D9D9" w:themeFill="background1" w:themeFillShade="D9"/>
            <w:vAlign w:val="center"/>
          </w:tcPr>
          <w:p w14:paraId="5C56F8F9"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+19%</w:t>
            </w:r>
          </w:p>
        </w:tc>
        <w:tc>
          <w:tcPr>
            <w:tcW w:w="712" w:type="dxa"/>
            <w:shd w:val="clear" w:color="auto" w:fill="D9D9D9" w:themeFill="background1" w:themeFillShade="D9"/>
            <w:vAlign w:val="center"/>
          </w:tcPr>
          <w:p w14:paraId="0F9A5F85"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+16%</w:t>
            </w:r>
          </w:p>
        </w:tc>
        <w:tc>
          <w:tcPr>
            <w:tcW w:w="712" w:type="dxa"/>
            <w:shd w:val="clear" w:color="auto" w:fill="D9D9D9" w:themeFill="background1" w:themeFillShade="D9"/>
            <w:vAlign w:val="center"/>
          </w:tcPr>
          <w:p w14:paraId="304F3CD8"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-15%</w:t>
            </w:r>
          </w:p>
        </w:tc>
        <w:tc>
          <w:tcPr>
            <w:tcW w:w="720" w:type="dxa"/>
            <w:shd w:val="clear" w:color="auto" w:fill="D9D9D9" w:themeFill="background1" w:themeFillShade="D9"/>
            <w:vAlign w:val="center"/>
          </w:tcPr>
          <w:p w14:paraId="6ADE07E7" w14:textId="06C9BF9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-5%</w:t>
            </w:r>
          </w:p>
        </w:tc>
        <w:tc>
          <w:tcPr>
            <w:tcW w:w="720" w:type="dxa"/>
            <w:shd w:val="clear" w:color="auto" w:fill="D9D9D9" w:themeFill="background1" w:themeFillShade="D9"/>
            <w:vAlign w:val="center"/>
          </w:tcPr>
          <w:p w14:paraId="62E21629" w14:textId="50425FD3"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-5%</w:t>
            </w:r>
          </w:p>
        </w:tc>
        <w:tc>
          <w:tcPr>
            <w:tcW w:w="864" w:type="dxa"/>
            <w:shd w:val="clear" w:color="auto" w:fill="D9D9D9" w:themeFill="background1" w:themeFillShade="D9"/>
            <w:vAlign w:val="center"/>
          </w:tcPr>
          <w:p w14:paraId="16791CCE" w14:textId="7A25D92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-3.4%</w:t>
            </w:r>
          </w:p>
        </w:tc>
        <w:tc>
          <w:tcPr>
            <w:tcW w:w="864" w:type="dxa"/>
            <w:shd w:val="clear" w:color="auto" w:fill="D9D9D9" w:themeFill="background1" w:themeFillShade="D9"/>
            <w:vAlign w:val="center"/>
          </w:tcPr>
          <w:p w14:paraId="3F52D29E" w14:textId="5BE723BC"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-2.0%</w:t>
            </w:r>
          </w:p>
        </w:tc>
        <w:tc>
          <w:tcPr>
            <w:tcW w:w="864" w:type="dxa"/>
            <w:shd w:val="clear" w:color="auto" w:fill="D9D9D9" w:themeFill="background1" w:themeFillShade="D9"/>
            <w:vAlign w:val="center"/>
          </w:tcPr>
          <w:p w14:paraId="6766D1AF" w14:textId="5F4190CE"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-10.6%</w:t>
            </w:r>
          </w:p>
        </w:tc>
        <w:tc>
          <w:tcPr>
            <w:tcW w:w="810" w:type="dxa"/>
            <w:shd w:val="clear" w:color="auto" w:fill="D9D9D9" w:themeFill="background1" w:themeFillShade="D9"/>
            <w:vAlign w:val="center"/>
          </w:tcPr>
          <w:p w14:paraId="6E87220E" w14:textId="161C46AF"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0.7</w:t>
            </w:r>
            <w:r w:rsidRPr="00CC0A0D">
              <w:rPr>
                <w:rFonts w:ascii="Arial" w:eastAsia="Times New Roman" w:hAnsi="Arial" w:cs="Arial"/>
                <w:color w:val="000000" w:themeColor="text1"/>
                <w:sz w:val="18"/>
                <w:szCs w:val="18"/>
              </w:rPr>
              <w:t>M</w:t>
            </w:r>
          </w:p>
        </w:tc>
        <w:tc>
          <w:tcPr>
            <w:tcW w:w="864" w:type="dxa"/>
            <w:shd w:val="clear" w:color="auto" w:fill="D9D9D9" w:themeFill="background1" w:themeFillShade="D9"/>
            <w:vAlign w:val="center"/>
          </w:tcPr>
          <w:p w14:paraId="51325A1D" w14:textId="171325AC"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-9.7</w:t>
            </w:r>
            <w:r w:rsidRPr="00CC0A0D">
              <w:rPr>
                <w:rFonts w:ascii="Arial" w:hAnsi="Arial" w:cs="Arial"/>
                <w:color w:val="000000" w:themeColor="text1"/>
                <w:sz w:val="18"/>
                <w:szCs w:val="18"/>
              </w:rPr>
              <w:t>%</w:t>
            </w:r>
          </w:p>
        </w:tc>
        <w:tc>
          <w:tcPr>
            <w:tcW w:w="1008" w:type="dxa"/>
            <w:shd w:val="clear" w:color="auto" w:fill="D9D9D9" w:themeFill="background1" w:themeFillShade="D9"/>
            <w:vAlign w:val="center"/>
          </w:tcPr>
          <w:p w14:paraId="13B7DB16" w14:textId="2DE67736"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-13.2</w:t>
            </w:r>
            <w:r w:rsidRPr="00CC0A0D">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 xml:space="preserve">Source: </w:t>
      </w:r>
      <w:proofErr w:type="spellStart"/>
      <w:r w:rsidRPr="000A6F81">
        <w:rPr>
          <w:rFonts w:ascii="Arial" w:hAnsi="Arial" w:cs="Arial"/>
          <w:color w:val="7F7F7F" w:themeColor="text1" w:themeTint="80"/>
          <w:sz w:val="16"/>
          <w:szCs w:val="14"/>
        </w:rPr>
        <w:t>Circana</w:t>
      </w:r>
      <w:proofErr w:type="spellEnd"/>
      <w:r w:rsidRPr="000A6F81">
        <w:rPr>
          <w:rFonts w:ascii="Arial" w:hAnsi="Arial" w:cs="Arial"/>
          <w:color w:val="7F7F7F" w:themeColor="text1" w:themeTint="80"/>
          <w:sz w:val="16"/>
          <w:szCs w:val="14"/>
        </w:rPr>
        <w:t>, Integrated Fresh, Total US, MULO+</w:t>
      </w:r>
    </w:p>
    <w:p w14:paraId="185B391D" w14:textId="77777777" w:rsidR="001544DD" w:rsidRDefault="001544DD" w:rsidP="004970F6">
      <w:pPr>
        <w:pStyle w:val="NoSpacing"/>
        <w:rPr>
          <w:rFonts w:ascii="Arial" w:hAnsi="Arial" w:cs="Arial"/>
          <w:b/>
          <w:bCs/>
          <w:color w:val="00857C"/>
        </w:rPr>
      </w:pPr>
    </w:p>
    <w:p w14:paraId="7A8EA595" w14:textId="2D5B0854"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771AD8AB" w14:textId="59E9DDEA" w:rsidR="00E5115C" w:rsidRDefault="00B070DF" w:rsidP="004970F6">
      <w:pPr>
        <w:pStyle w:val="NoSpacing"/>
        <w:rPr>
          <w:rFonts w:ascii="Arial" w:hAnsi="Arial" w:cs="Arial"/>
          <w:color w:val="000000" w:themeColor="text1"/>
          <w:sz w:val="20"/>
          <w:szCs w:val="20"/>
        </w:rPr>
      </w:pPr>
      <w:r>
        <w:rPr>
          <w:rFonts w:ascii="Arial" w:hAnsi="Arial" w:cs="Arial"/>
          <w:color w:val="000000" w:themeColor="text1"/>
          <w:sz w:val="20"/>
          <w:szCs w:val="20"/>
        </w:rPr>
        <w:t>The top five frozen seafood species are unchanged, led by shrimp and salmon</w:t>
      </w:r>
      <w:r w:rsidR="001544DD">
        <w:rPr>
          <w:rFonts w:ascii="Arial" w:hAnsi="Arial" w:cs="Arial"/>
          <w:color w:val="000000" w:themeColor="text1"/>
          <w:sz w:val="20"/>
          <w:szCs w:val="20"/>
        </w:rPr>
        <w:t>.</w:t>
      </w:r>
      <w:r>
        <w:rPr>
          <w:rFonts w:ascii="Arial" w:hAnsi="Arial" w:cs="Arial"/>
          <w:color w:val="000000" w:themeColor="text1"/>
          <w:sz w:val="20"/>
          <w:szCs w:val="20"/>
        </w:rPr>
        <w:t xml:space="preserve"> Frozen salmon and pollock had a very strong June, with robust gains in both dollar and pound sales. These two species have done well all year. Frozen salmon sales exceeded the $1 billion mark in the latest 52 weeks, with growth of 3.4% in pounds. </w:t>
      </w:r>
      <w:r w:rsidR="001544DD">
        <w:rPr>
          <w:rFonts w:ascii="Arial" w:hAnsi="Arial" w:cs="Arial"/>
          <w:color w:val="000000" w:themeColor="text1"/>
          <w:sz w:val="20"/>
          <w:szCs w:val="20"/>
        </w:rPr>
        <w:t xml:space="preserve"> </w:t>
      </w:r>
    </w:p>
    <w:p w14:paraId="74D815F6" w14:textId="20CF768E" w:rsidR="008436FE" w:rsidRDefault="008436FE" w:rsidP="004970F6">
      <w:pPr>
        <w:pStyle w:val="NoSpacing"/>
        <w:rPr>
          <w:rFonts w:ascii="Arial" w:hAnsi="Arial" w:cs="Arial"/>
          <w:color w:val="000000" w:themeColor="text1"/>
          <w:sz w:val="20"/>
          <w:szCs w:val="2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2070"/>
        <w:gridCol w:w="1455"/>
        <w:gridCol w:w="1455"/>
        <w:gridCol w:w="1455"/>
        <w:gridCol w:w="45"/>
        <w:gridCol w:w="1410"/>
        <w:gridCol w:w="1290"/>
        <w:gridCol w:w="1440"/>
      </w:tblGrid>
      <w:tr w:rsidR="00C853F3" w:rsidRPr="00A80540" w14:paraId="74E8430C" w14:textId="77777777" w:rsidTr="0053357C">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7AB07534" w14:textId="71FBB86C" w:rsidR="00C853F3" w:rsidRPr="00A80540" w:rsidRDefault="00C853F3" w:rsidP="00C853F3">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5E8D3EC1" w14:textId="024BD438" w:rsidR="00C853F3" w:rsidRPr="00A80540" w:rsidRDefault="00CD7E54"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 2025</w:t>
            </w:r>
          </w:p>
        </w:tc>
        <w:tc>
          <w:tcPr>
            <w:tcW w:w="4140"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6BAD5D7C" w14:textId="6226E694"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FB1ED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tcBorders>
              <w:left w:val="none" w:sz="0" w:space="0" w:color="auto"/>
              <w:right w:val="none" w:sz="0" w:space="0" w:color="auto"/>
            </w:tcBorders>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tcBorders>
              <w:left w:val="none" w:sz="0" w:space="0" w:color="auto"/>
              <w:right w:val="none" w:sz="0" w:space="0" w:color="auto"/>
            </w:tcBorders>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55" w:type="dxa"/>
            <w:tcBorders>
              <w:left w:val="none" w:sz="0" w:space="0" w:color="auto"/>
              <w:right w:val="single" w:sz="4" w:space="0" w:color="auto"/>
            </w:tcBorders>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55" w:type="dxa"/>
            <w:gridSpan w:val="2"/>
            <w:tcBorders>
              <w:left w:val="single" w:sz="4" w:space="0" w:color="auto"/>
              <w:right w:val="none" w:sz="0" w:space="0" w:color="auto"/>
            </w:tcBorders>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tcBorders>
              <w:left w:val="none" w:sz="0" w:space="0" w:color="auto"/>
              <w:right w:val="none" w:sz="0" w:space="0" w:color="auto"/>
            </w:tcBorders>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tcBorders>
              <w:left w:val="none" w:sz="0" w:space="0" w:color="auto"/>
              <w:right w:val="none" w:sz="0" w:space="0" w:color="auto"/>
            </w:tcBorders>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B070DF" w:rsidRPr="00FA2F0F" w14:paraId="582E83F8" w14:textId="77777777" w:rsidTr="009F19C4">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B070DF" w:rsidRPr="00FA2F0F" w:rsidRDefault="00B070DF" w:rsidP="00B070DF">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shrimp</w:t>
            </w:r>
          </w:p>
        </w:tc>
        <w:tc>
          <w:tcPr>
            <w:tcW w:w="1455" w:type="dxa"/>
            <w:vAlign w:val="bottom"/>
          </w:tcPr>
          <w:p w14:paraId="34226FF4" w14:textId="00769246"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$317M</w:t>
            </w:r>
          </w:p>
        </w:tc>
        <w:tc>
          <w:tcPr>
            <w:tcW w:w="1455" w:type="dxa"/>
            <w:vAlign w:val="bottom"/>
          </w:tcPr>
          <w:p w14:paraId="282DA3A2" w14:textId="05DF5FEA"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+0.1%</w:t>
            </w:r>
          </w:p>
        </w:tc>
        <w:tc>
          <w:tcPr>
            <w:tcW w:w="1455" w:type="dxa"/>
            <w:tcBorders>
              <w:right w:val="single" w:sz="4" w:space="0" w:color="auto"/>
            </w:tcBorders>
            <w:vAlign w:val="bottom"/>
          </w:tcPr>
          <w:p w14:paraId="79EB35F8" w14:textId="4D3C7CF6"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-4.4%</w:t>
            </w:r>
          </w:p>
        </w:tc>
        <w:tc>
          <w:tcPr>
            <w:tcW w:w="1455" w:type="dxa"/>
            <w:gridSpan w:val="2"/>
            <w:tcBorders>
              <w:left w:val="single" w:sz="4" w:space="0" w:color="auto"/>
            </w:tcBorders>
            <w:vAlign w:val="bottom"/>
          </w:tcPr>
          <w:p w14:paraId="59A2F10C" w14:textId="0A0D1731"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$4.2B</w:t>
            </w:r>
          </w:p>
        </w:tc>
        <w:tc>
          <w:tcPr>
            <w:tcW w:w="1290" w:type="dxa"/>
            <w:vAlign w:val="bottom"/>
          </w:tcPr>
          <w:p w14:paraId="5B063ED0" w14:textId="2B8D2E13"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+3.3%</w:t>
            </w:r>
          </w:p>
        </w:tc>
        <w:tc>
          <w:tcPr>
            <w:tcW w:w="1440" w:type="dxa"/>
            <w:vAlign w:val="bottom"/>
          </w:tcPr>
          <w:p w14:paraId="19A48928" w14:textId="07A7A3C0"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+2.2%</w:t>
            </w:r>
          </w:p>
        </w:tc>
      </w:tr>
      <w:tr w:rsidR="00B070DF" w:rsidRPr="00FA2F0F" w14:paraId="3C23A2D5" w14:textId="77777777" w:rsidTr="009F19C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0B89A307" w14:textId="74D3B502" w:rsidR="00B070DF" w:rsidRPr="00FA2F0F" w:rsidRDefault="00B070DF" w:rsidP="00B070DF">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salmon</w:t>
            </w:r>
          </w:p>
        </w:tc>
        <w:tc>
          <w:tcPr>
            <w:tcW w:w="1455" w:type="dxa"/>
            <w:tcBorders>
              <w:left w:val="none" w:sz="0" w:space="0" w:color="auto"/>
              <w:right w:val="none" w:sz="0" w:space="0" w:color="auto"/>
            </w:tcBorders>
            <w:shd w:val="clear" w:color="auto" w:fill="D9D9D9" w:themeFill="background1" w:themeFillShade="D9"/>
            <w:vAlign w:val="bottom"/>
          </w:tcPr>
          <w:p w14:paraId="3A400688" w14:textId="5E5833E1"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$84M</w:t>
            </w:r>
          </w:p>
        </w:tc>
        <w:tc>
          <w:tcPr>
            <w:tcW w:w="1455" w:type="dxa"/>
            <w:tcBorders>
              <w:left w:val="none" w:sz="0" w:space="0" w:color="auto"/>
              <w:right w:val="none" w:sz="0" w:space="0" w:color="auto"/>
            </w:tcBorders>
            <w:shd w:val="clear" w:color="auto" w:fill="D9D9D9" w:themeFill="background1" w:themeFillShade="D9"/>
            <w:vAlign w:val="bottom"/>
          </w:tcPr>
          <w:p w14:paraId="454751B8" w14:textId="656F3F04"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+9.5%</w:t>
            </w:r>
          </w:p>
        </w:tc>
        <w:tc>
          <w:tcPr>
            <w:tcW w:w="1455" w:type="dxa"/>
            <w:tcBorders>
              <w:left w:val="none" w:sz="0" w:space="0" w:color="auto"/>
              <w:right w:val="single" w:sz="4" w:space="0" w:color="auto"/>
            </w:tcBorders>
            <w:shd w:val="clear" w:color="auto" w:fill="D9D9D9" w:themeFill="background1" w:themeFillShade="D9"/>
            <w:vAlign w:val="bottom"/>
          </w:tcPr>
          <w:p w14:paraId="5C16D02A" w14:textId="07B71A1D"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+7.6%</w:t>
            </w:r>
          </w:p>
        </w:tc>
        <w:tc>
          <w:tcPr>
            <w:tcW w:w="1455" w:type="dxa"/>
            <w:gridSpan w:val="2"/>
            <w:tcBorders>
              <w:left w:val="single" w:sz="4" w:space="0" w:color="auto"/>
              <w:right w:val="none" w:sz="0" w:space="0" w:color="auto"/>
            </w:tcBorders>
            <w:shd w:val="clear" w:color="auto" w:fill="D9D9D9" w:themeFill="background1" w:themeFillShade="D9"/>
            <w:vAlign w:val="bottom"/>
          </w:tcPr>
          <w:p w14:paraId="221E222A" w14:textId="3DD9BB55"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$1.0B</w:t>
            </w:r>
          </w:p>
        </w:tc>
        <w:tc>
          <w:tcPr>
            <w:tcW w:w="1290" w:type="dxa"/>
            <w:tcBorders>
              <w:left w:val="none" w:sz="0" w:space="0" w:color="auto"/>
              <w:right w:val="none" w:sz="0" w:space="0" w:color="auto"/>
            </w:tcBorders>
            <w:shd w:val="clear" w:color="auto" w:fill="D9D9D9" w:themeFill="background1" w:themeFillShade="D9"/>
            <w:vAlign w:val="bottom"/>
          </w:tcPr>
          <w:p w14:paraId="79116A6A" w14:textId="622D4D04"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+0.5%</w:t>
            </w:r>
          </w:p>
        </w:tc>
        <w:tc>
          <w:tcPr>
            <w:tcW w:w="1440" w:type="dxa"/>
            <w:tcBorders>
              <w:left w:val="none" w:sz="0" w:space="0" w:color="auto"/>
              <w:right w:val="none" w:sz="0" w:space="0" w:color="auto"/>
            </w:tcBorders>
            <w:shd w:val="clear" w:color="auto" w:fill="D9D9D9" w:themeFill="background1" w:themeFillShade="D9"/>
            <w:vAlign w:val="bottom"/>
          </w:tcPr>
          <w:p w14:paraId="2C2C5773" w14:textId="4541A104"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+3.4%</w:t>
            </w:r>
          </w:p>
        </w:tc>
      </w:tr>
      <w:tr w:rsidR="00B070DF" w:rsidRPr="00FA2F0F" w14:paraId="16ADAA82" w14:textId="77777777" w:rsidTr="009F19C4">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21A5CB28" w14:textId="1F730D1A" w:rsidR="00B070DF" w:rsidRPr="00FA2F0F" w:rsidRDefault="00B070DF" w:rsidP="00B070DF">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lastRenderedPageBreak/>
              <w:t>Frozen pollock</w:t>
            </w:r>
          </w:p>
        </w:tc>
        <w:tc>
          <w:tcPr>
            <w:tcW w:w="1455" w:type="dxa"/>
            <w:vAlign w:val="bottom"/>
          </w:tcPr>
          <w:p w14:paraId="706F8576" w14:textId="0087C16F"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$43M</w:t>
            </w:r>
          </w:p>
        </w:tc>
        <w:tc>
          <w:tcPr>
            <w:tcW w:w="1455" w:type="dxa"/>
            <w:vAlign w:val="bottom"/>
          </w:tcPr>
          <w:p w14:paraId="015FE819" w14:textId="77D16054"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+1.8%</w:t>
            </w:r>
          </w:p>
        </w:tc>
        <w:tc>
          <w:tcPr>
            <w:tcW w:w="1455" w:type="dxa"/>
            <w:tcBorders>
              <w:right w:val="single" w:sz="4" w:space="0" w:color="auto"/>
            </w:tcBorders>
            <w:vAlign w:val="bottom"/>
          </w:tcPr>
          <w:p w14:paraId="5757ADAB" w14:textId="16717E3D"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+3.6%</w:t>
            </w:r>
          </w:p>
        </w:tc>
        <w:tc>
          <w:tcPr>
            <w:tcW w:w="1455" w:type="dxa"/>
            <w:gridSpan w:val="2"/>
            <w:tcBorders>
              <w:left w:val="single" w:sz="4" w:space="0" w:color="auto"/>
            </w:tcBorders>
            <w:vAlign w:val="bottom"/>
          </w:tcPr>
          <w:p w14:paraId="12D3806D" w14:textId="35C91C6B"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$624M</w:t>
            </w:r>
          </w:p>
        </w:tc>
        <w:tc>
          <w:tcPr>
            <w:tcW w:w="1290" w:type="dxa"/>
            <w:vAlign w:val="bottom"/>
          </w:tcPr>
          <w:p w14:paraId="56F281BB" w14:textId="7EF0828B"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+3.0%</w:t>
            </w:r>
          </w:p>
        </w:tc>
        <w:tc>
          <w:tcPr>
            <w:tcW w:w="1440" w:type="dxa"/>
            <w:vAlign w:val="bottom"/>
          </w:tcPr>
          <w:p w14:paraId="3067BC40" w14:textId="01CAED00"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+1.1%</w:t>
            </w:r>
          </w:p>
        </w:tc>
      </w:tr>
      <w:tr w:rsidR="00B070DF" w:rsidRPr="00FA2F0F" w14:paraId="4CFEB2F4" w14:textId="77777777" w:rsidTr="009F19C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5E8E237C" w14:textId="62240A4A" w:rsidR="00B070DF" w:rsidRPr="00FA2F0F" w:rsidRDefault="00B070DF" w:rsidP="00B070DF">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tilapia</w:t>
            </w:r>
          </w:p>
        </w:tc>
        <w:tc>
          <w:tcPr>
            <w:tcW w:w="1455" w:type="dxa"/>
            <w:tcBorders>
              <w:left w:val="none" w:sz="0" w:space="0" w:color="auto"/>
              <w:right w:val="none" w:sz="0" w:space="0" w:color="auto"/>
            </w:tcBorders>
            <w:shd w:val="clear" w:color="auto" w:fill="D9D9D9" w:themeFill="background1" w:themeFillShade="D9"/>
            <w:vAlign w:val="bottom"/>
          </w:tcPr>
          <w:p w14:paraId="0DF42BCF" w14:textId="1ADDDC96"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$42M</w:t>
            </w:r>
          </w:p>
        </w:tc>
        <w:tc>
          <w:tcPr>
            <w:tcW w:w="1455" w:type="dxa"/>
            <w:tcBorders>
              <w:left w:val="none" w:sz="0" w:space="0" w:color="auto"/>
              <w:right w:val="none" w:sz="0" w:space="0" w:color="auto"/>
            </w:tcBorders>
            <w:shd w:val="clear" w:color="auto" w:fill="D9D9D9" w:themeFill="background1" w:themeFillShade="D9"/>
            <w:vAlign w:val="bottom"/>
          </w:tcPr>
          <w:p w14:paraId="6B415CEB" w14:textId="64F114FB"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-0.1%</w:t>
            </w:r>
          </w:p>
        </w:tc>
        <w:tc>
          <w:tcPr>
            <w:tcW w:w="1455" w:type="dxa"/>
            <w:tcBorders>
              <w:left w:val="none" w:sz="0" w:space="0" w:color="auto"/>
              <w:right w:val="single" w:sz="4" w:space="0" w:color="auto"/>
            </w:tcBorders>
            <w:shd w:val="clear" w:color="auto" w:fill="D9D9D9" w:themeFill="background1" w:themeFillShade="D9"/>
            <w:vAlign w:val="bottom"/>
          </w:tcPr>
          <w:p w14:paraId="45969077" w14:textId="240DFBDC"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-4.0%</w:t>
            </w:r>
          </w:p>
        </w:tc>
        <w:tc>
          <w:tcPr>
            <w:tcW w:w="1455" w:type="dxa"/>
            <w:gridSpan w:val="2"/>
            <w:tcBorders>
              <w:left w:val="single" w:sz="4" w:space="0" w:color="auto"/>
              <w:right w:val="none" w:sz="0" w:space="0" w:color="auto"/>
            </w:tcBorders>
            <w:shd w:val="clear" w:color="auto" w:fill="D9D9D9" w:themeFill="background1" w:themeFillShade="D9"/>
            <w:vAlign w:val="bottom"/>
          </w:tcPr>
          <w:p w14:paraId="4168082C" w14:textId="603C109C"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$546M</w:t>
            </w:r>
          </w:p>
        </w:tc>
        <w:tc>
          <w:tcPr>
            <w:tcW w:w="1290" w:type="dxa"/>
            <w:tcBorders>
              <w:left w:val="none" w:sz="0" w:space="0" w:color="auto"/>
              <w:right w:val="none" w:sz="0" w:space="0" w:color="auto"/>
            </w:tcBorders>
            <w:shd w:val="clear" w:color="auto" w:fill="D9D9D9" w:themeFill="background1" w:themeFillShade="D9"/>
            <w:vAlign w:val="bottom"/>
          </w:tcPr>
          <w:p w14:paraId="4F0E61C4" w14:textId="6BCD0481"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+0.9%</w:t>
            </w:r>
          </w:p>
        </w:tc>
        <w:tc>
          <w:tcPr>
            <w:tcW w:w="1440" w:type="dxa"/>
            <w:tcBorders>
              <w:left w:val="none" w:sz="0" w:space="0" w:color="auto"/>
              <w:right w:val="none" w:sz="0" w:space="0" w:color="auto"/>
            </w:tcBorders>
            <w:shd w:val="clear" w:color="auto" w:fill="D9D9D9" w:themeFill="background1" w:themeFillShade="D9"/>
            <w:vAlign w:val="bottom"/>
          </w:tcPr>
          <w:p w14:paraId="75C9779D" w14:textId="42D27860" w:rsidR="00B070DF" w:rsidRPr="00FA2F0F" w:rsidRDefault="00B070DF" w:rsidP="00B070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-4.0%</w:t>
            </w:r>
          </w:p>
        </w:tc>
      </w:tr>
      <w:tr w:rsidR="00B070DF" w:rsidRPr="00FA2F0F" w14:paraId="7CEF3C20" w14:textId="77777777" w:rsidTr="009F19C4">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35DF4A54" w:rsidR="00B070DF" w:rsidRPr="00FA2F0F" w:rsidRDefault="00B070DF" w:rsidP="00B070DF">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c</w:t>
            </w:r>
            <w:r>
              <w:rPr>
                <w:rFonts w:ascii="Arial" w:eastAsia="Times New Roman" w:hAnsi="Arial" w:cs="Arial"/>
                <w:b w:val="0"/>
                <w:color w:val="000000" w:themeColor="text1"/>
                <w:sz w:val="18"/>
                <w:szCs w:val="18"/>
              </w:rPr>
              <w:t>od</w:t>
            </w:r>
          </w:p>
        </w:tc>
        <w:tc>
          <w:tcPr>
            <w:tcW w:w="1455" w:type="dxa"/>
            <w:vAlign w:val="bottom"/>
          </w:tcPr>
          <w:p w14:paraId="1FA12974" w14:textId="1862157F"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$22M</w:t>
            </w:r>
          </w:p>
        </w:tc>
        <w:tc>
          <w:tcPr>
            <w:tcW w:w="1455" w:type="dxa"/>
            <w:vAlign w:val="bottom"/>
          </w:tcPr>
          <w:p w14:paraId="04C006FC" w14:textId="36697B97"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+0.4%</w:t>
            </w:r>
          </w:p>
        </w:tc>
        <w:tc>
          <w:tcPr>
            <w:tcW w:w="1455" w:type="dxa"/>
            <w:tcBorders>
              <w:right w:val="single" w:sz="4" w:space="0" w:color="auto"/>
            </w:tcBorders>
            <w:vAlign w:val="bottom"/>
          </w:tcPr>
          <w:p w14:paraId="55D89BBB" w14:textId="6580C95C"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-15.1%</w:t>
            </w:r>
          </w:p>
        </w:tc>
        <w:tc>
          <w:tcPr>
            <w:tcW w:w="1455" w:type="dxa"/>
            <w:gridSpan w:val="2"/>
            <w:tcBorders>
              <w:left w:val="single" w:sz="4" w:space="0" w:color="auto"/>
            </w:tcBorders>
            <w:vAlign w:val="bottom"/>
          </w:tcPr>
          <w:p w14:paraId="02224226" w14:textId="3681C5C7"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$309M</w:t>
            </w:r>
          </w:p>
        </w:tc>
        <w:tc>
          <w:tcPr>
            <w:tcW w:w="1290" w:type="dxa"/>
            <w:vAlign w:val="bottom"/>
          </w:tcPr>
          <w:p w14:paraId="77504BA5" w14:textId="3332CC5D"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+1.8%</w:t>
            </w:r>
          </w:p>
        </w:tc>
        <w:tc>
          <w:tcPr>
            <w:tcW w:w="1440" w:type="dxa"/>
            <w:vAlign w:val="bottom"/>
          </w:tcPr>
          <w:p w14:paraId="5E7300B6" w14:textId="0B3517EC" w:rsidR="00B070DF" w:rsidRPr="00FA2F0F" w:rsidRDefault="00B070DF" w:rsidP="00B070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Calibri" w:hAnsi="Calibri" w:cs="Calibri"/>
                <w:color w:val="000000"/>
              </w:rPr>
              <w:t>-4.9%</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7" w:name="_Hlk121583547"/>
      <w:bookmarkStart w:id="8" w:name="_Hlk116291245"/>
    </w:p>
    <w:p w14:paraId="50C38614" w14:textId="77777777" w:rsidR="00FE2B06" w:rsidRDefault="00FE2B06" w:rsidP="00CD29D9">
      <w:pPr>
        <w:pStyle w:val="NoSpacing"/>
        <w:rPr>
          <w:rFonts w:ascii="Arial" w:hAnsi="Arial" w:cs="Arial"/>
          <w:b/>
          <w:bCs/>
          <w:color w:val="31849B" w:themeColor="accent5" w:themeShade="BF"/>
          <w:sz w:val="24"/>
          <w:szCs w:val="24"/>
        </w:rPr>
      </w:pPr>
      <w:bookmarkStart w:id="9" w:name="_Hlk118920915"/>
      <w:bookmarkStart w:id="10" w:name="_Hlk127026660"/>
      <w:bookmarkEnd w:id="7"/>
      <w:bookmarkEnd w:id="8"/>
    </w:p>
    <w:p w14:paraId="75CFE316" w14:textId="1F99223F"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9"/>
    <w:bookmarkEnd w:id="10"/>
    <w:p w14:paraId="7B873DF2" w14:textId="6DCAFB52" w:rsidR="001544DD" w:rsidRPr="00B73FEA" w:rsidRDefault="00B73FEA" w:rsidP="00280CA6">
      <w:pPr>
        <w:pStyle w:val="NoSpacing"/>
        <w:numPr>
          <w:ilvl w:val="0"/>
          <w:numId w:val="8"/>
        </w:numPr>
        <w:rPr>
          <w:rFonts w:ascii="Arial" w:hAnsi="Arial" w:cs="Arial"/>
          <w:sz w:val="20"/>
          <w:szCs w:val="20"/>
        </w:rPr>
      </w:pPr>
      <w:r w:rsidRPr="00B73FEA">
        <w:rPr>
          <w:rFonts w:ascii="Arial" w:hAnsi="Arial" w:cs="Arial"/>
          <w:sz w:val="20"/>
          <w:szCs w:val="20"/>
        </w:rPr>
        <w:t>Eating patterns between Memorial Day and Labor Day tend to reflect more grilling, entertaining and holiday patterns</w:t>
      </w:r>
      <w:r w:rsidR="001544DD" w:rsidRPr="00B73FEA">
        <w:rPr>
          <w:rFonts w:ascii="Arial" w:hAnsi="Arial" w:cs="Arial"/>
          <w:sz w:val="20"/>
          <w:szCs w:val="20"/>
        </w:rPr>
        <w:t>.</w:t>
      </w:r>
      <w:r w:rsidRPr="00B73FEA">
        <w:rPr>
          <w:rFonts w:ascii="Arial" w:hAnsi="Arial" w:cs="Arial"/>
          <w:sz w:val="20"/>
          <w:szCs w:val="20"/>
        </w:rPr>
        <w:t xml:space="preserve"> July Fourth celebrations create among the biggest sales spikes for meat, in particular ground beef and other grilling powerhouses. Retail has a continued opportunity for growth by integrating seafood into grilling-related ads and merchandising sets. </w:t>
      </w:r>
    </w:p>
    <w:p w14:paraId="07E6A59C" w14:textId="54B8015D" w:rsidR="00B73FEA" w:rsidRDefault="00B73FEA" w:rsidP="00280CA6">
      <w:pPr>
        <w:pStyle w:val="NoSpacing"/>
        <w:numPr>
          <w:ilvl w:val="0"/>
          <w:numId w:val="8"/>
        </w:numPr>
        <w:rPr>
          <w:rFonts w:ascii="Arial" w:hAnsi="Arial" w:cs="Arial"/>
          <w:sz w:val="20"/>
          <w:szCs w:val="20"/>
        </w:rPr>
      </w:pPr>
      <w:r w:rsidRPr="00B73FEA">
        <w:rPr>
          <w:rFonts w:ascii="Arial" w:hAnsi="Arial" w:cs="Arial"/>
          <w:sz w:val="20"/>
          <w:szCs w:val="20"/>
        </w:rPr>
        <w:t xml:space="preserve">Consumer sentiment is improving along with other economic indicators. This may result in trip and spending growth for foodservice. Restaurant chains are investing heavily in loyalty programs and innovative value propositions. In response, retailers continue to invest in grocery deli-prepared meals and ingredients. Sushi has become quite the powerhouse, but other ready-to-eat and ready-to-cook seafood items can help provide variety to an otherwise very chicken-focused deli assortment. </w:t>
      </w:r>
    </w:p>
    <w:p w14:paraId="7C18D986" w14:textId="07D56652" w:rsidR="00B73FEA" w:rsidRPr="00B73FEA" w:rsidRDefault="00B73FEA" w:rsidP="00280CA6">
      <w:pPr>
        <w:pStyle w:val="NoSpacing"/>
        <w:numPr>
          <w:ilvl w:val="0"/>
          <w:numId w:val="8"/>
        </w:numPr>
        <w:rPr>
          <w:rFonts w:ascii="Arial" w:hAnsi="Arial" w:cs="Arial"/>
          <w:sz w:val="20"/>
          <w:szCs w:val="20"/>
        </w:rPr>
      </w:pPr>
      <w:r>
        <w:rPr>
          <w:rFonts w:ascii="Arial" w:hAnsi="Arial" w:cs="Arial"/>
          <w:sz w:val="20"/>
          <w:szCs w:val="20"/>
        </w:rPr>
        <w:t xml:space="preserve">The second half of the year will likely see similar patterns to those seen in the first six months of 2025. Finfish sales have been strong and growing, whereas patterns in shellfish show some continued struggles, though </w:t>
      </w:r>
      <w:proofErr w:type="gramStart"/>
      <w:r>
        <w:rPr>
          <w:rFonts w:ascii="Arial" w:hAnsi="Arial" w:cs="Arial"/>
          <w:sz w:val="20"/>
          <w:szCs w:val="20"/>
        </w:rPr>
        <w:t>longer term</w:t>
      </w:r>
      <w:proofErr w:type="gramEnd"/>
      <w:r>
        <w:rPr>
          <w:rFonts w:ascii="Arial" w:hAnsi="Arial" w:cs="Arial"/>
          <w:sz w:val="20"/>
          <w:szCs w:val="20"/>
        </w:rPr>
        <w:t xml:space="preserve"> recovery. </w:t>
      </w:r>
    </w:p>
    <w:p w14:paraId="5F504273" w14:textId="77777777" w:rsidR="00BA6703" w:rsidRDefault="00BA6703" w:rsidP="00BA6703">
      <w:pPr>
        <w:pStyle w:val="NoSpacing"/>
        <w:rPr>
          <w:rFonts w:ascii="Arial" w:hAnsi="Arial" w:cs="Arial"/>
          <w:sz w:val="20"/>
          <w:szCs w:val="20"/>
        </w:rPr>
      </w:pPr>
    </w:p>
    <w:p w14:paraId="49B73CD5" w14:textId="77777777" w:rsidR="00BA6703" w:rsidRDefault="00BA6703" w:rsidP="00BA6703">
      <w:pPr>
        <w:pStyle w:val="NoSpacing"/>
        <w:rPr>
          <w:rFonts w:ascii="Arial" w:hAnsi="Arial" w:cs="Arial"/>
          <w:b/>
          <w:sz w:val="20"/>
          <w:szCs w:val="20"/>
        </w:rPr>
      </w:pPr>
    </w:p>
    <w:p w14:paraId="15A58AC7" w14:textId="77777777" w:rsidR="00BA6703" w:rsidRDefault="00BA6703" w:rsidP="00BA6703">
      <w:pPr>
        <w:pStyle w:val="NoSpacing"/>
        <w:rPr>
          <w:rFonts w:ascii="Arial" w:hAnsi="Arial" w:cs="Arial"/>
          <w:b/>
          <w:sz w:val="20"/>
          <w:szCs w:val="20"/>
        </w:rPr>
        <w:sectPr w:rsidR="00BA6703" w:rsidSect="00EE3028">
          <w:headerReference w:type="default" r:id="rId10"/>
          <w:footerReference w:type="default" r:id="rId11"/>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32E50BD5" w14:textId="77777777" w:rsidR="00BA6703" w:rsidRDefault="00BA6703" w:rsidP="00BA6703">
      <w:pPr>
        <w:pStyle w:val="NoSpacing"/>
        <w:rPr>
          <w:rFonts w:ascii="Arial" w:hAnsi="Arial" w:cs="Arial"/>
          <w:sz w:val="20"/>
          <w:szCs w:val="20"/>
        </w:rPr>
      </w:pPr>
      <w:r>
        <w:rPr>
          <w:rFonts w:ascii="Arial" w:hAnsi="Arial" w:cs="Arial"/>
          <w:sz w:val="20"/>
          <w:szCs w:val="20"/>
        </w:rPr>
        <w:t>2024: 52 weeks ending 12/29/2024</w:t>
      </w:r>
    </w:p>
    <w:p w14:paraId="6036D4C4" w14:textId="77777777" w:rsidR="00BA6703" w:rsidRDefault="00BA6703" w:rsidP="00BA6703">
      <w:pPr>
        <w:pStyle w:val="NoSpacing"/>
        <w:rPr>
          <w:rFonts w:ascii="Arial" w:hAnsi="Arial" w:cs="Arial"/>
          <w:sz w:val="20"/>
          <w:szCs w:val="20"/>
        </w:rPr>
      </w:pPr>
      <w:r>
        <w:rPr>
          <w:rFonts w:ascii="Arial" w:hAnsi="Arial" w:cs="Arial"/>
          <w:sz w:val="20"/>
          <w:szCs w:val="20"/>
        </w:rPr>
        <w:t>Q4 2024: 13 weeks ending 12/29/2024</w:t>
      </w:r>
    </w:p>
    <w:p w14:paraId="73C7F228" w14:textId="7677E3CD" w:rsidR="009D4BDE" w:rsidRDefault="009D4BDE" w:rsidP="00BA6703">
      <w:pPr>
        <w:pStyle w:val="NoSpacing"/>
        <w:rPr>
          <w:rFonts w:ascii="Arial" w:hAnsi="Arial" w:cs="Arial"/>
          <w:sz w:val="20"/>
          <w:szCs w:val="20"/>
        </w:rPr>
      </w:pPr>
      <w:r>
        <w:rPr>
          <w:rFonts w:ascii="Arial" w:hAnsi="Arial" w:cs="Arial"/>
          <w:sz w:val="20"/>
          <w:szCs w:val="20"/>
        </w:rPr>
        <w:t>Q1 202</w:t>
      </w:r>
      <w:r w:rsidR="0097414E">
        <w:rPr>
          <w:rFonts w:ascii="Arial" w:hAnsi="Arial" w:cs="Arial"/>
          <w:sz w:val="20"/>
          <w:szCs w:val="20"/>
        </w:rPr>
        <w:t>5</w:t>
      </w:r>
      <w:r>
        <w:rPr>
          <w:rFonts w:ascii="Arial" w:hAnsi="Arial" w:cs="Arial"/>
          <w:sz w:val="20"/>
          <w:szCs w:val="20"/>
        </w:rPr>
        <w:t>: 13 weeks ending 3/30/2025</w:t>
      </w:r>
    </w:p>
    <w:p w14:paraId="688CFA4B" w14:textId="215B3714" w:rsidR="00B73FEA" w:rsidRDefault="00B73FEA" w:rsidP="00BA6703">
      <w:pPr>
        <w:pStyle w:val="NoSpacing"/>
        <w:rPr>
          <w:rFonts w:ascii="Arial" w:hAnsi="Arial" w:cs="Arial"/>
          <w:sz w:val="20"/>
          <w:szCs w:val="20"/>
        </w:rPr>
      </w:pPr>
      <w:r>
        <w:rPr>
          <w:rFonts w:ascii="Arial" w:hAnsi="Arial" w:cs="Arial"/>
          <w:sz w:val="20"/>
          <w:szCs w:val="20"/>
        </w:rPr>
        <w:t>Q2 2025: 13 weeks ending 6/29/2025</w:t>
      </w:r>
    </w:p>
    <w:p w14:paraId="328D51F3" w14:textId="3DF1B8DD" w:rsidR="00BA6703" w:rsidRDefault="00CD7E54" w:rsidP="00BA6703">
      <w:pPr>
        <w:pStyle w:val="NoSpacing"/>
        <w:rPr>
          <w:rFonts w:ascii="Arial" w:hAnsi="Arial" w:cs="Arial"/>
          <w:sz w:val="20"/>
          <w:szCs w:val="20"/>
        </w:rPr>
      </w:pPr>
      <w:r>
        <w:rPr>
          <w:rFonts w:ascii="Arial" w:hAnsi="Arial" w:cs="Arial"/>
          <w:sz w:val="20"/>
          <w:szCs w:val="20"/>
        </w:rPr>
        <w:t>June 2025</w:t>
      </w:r>
      <w:r w:rsidR="00B43838">
        <w:rPr>
          <w:rFonts w:ascii="Arial" w:hAnsi="Arial" w:cs="Arial"/>
          <w:sz w:val="20"/>
          <w:szCs w:val="20"/>
        </w:rPr>
        <w:t xml:space="preserve">: </w:t>
      </w:r>
      <w:r w:rsidR="005C5842">
        <w:rPr>
          <w:rFonts w:ascii="Arial" w:hAnsi="Arial" w:cs="Arial"/>
          <w:sz w:val="20"/>
          <w:szCs w:val="20"/>
        </w:rPr>
        <w:t>4</w:t>
      </w:r>
      <w:r w:rsidR="00046AD4">
        <w:rPr>
          <w:rFonts w:ascii="Arial" w:hAnsi="Arial" w:cs="Arial"/>
          <w:sz w:val="20"/>
          <w:szCs w:val="20"/>
        </w:rPr>
        <w:t xml:space="preserve"> weeks ending </w:t>
      </w:r>
      <w:r w:rsidR="00B73FEA">
        <w:rPr>
          <w:rFonts w:ascii="Arial" w:hAnsi="Arial" w:cs="Arial"/>
          <w:sz w:val="20"/>
          <w:szCs w:val="20"/>
        </w:rPr>
        <w:t>6</w:t>
      </w:r>
      <w:r w:rsidR="00B43838">
        <w:rPr>
          <w:rFonts w:ascii="Arial" w:hAnsi="Arial" w:cs="Arial"/>
          <w:sz w:val="20"/>
          <w:szCs w:val="20"/>
        </w:rPr>
        <w:t>/</w:t>
      </w:r>
      <w:r w:rsidR="001544DD">
        <w:rPr>
          <w:rFonts w:ascii="Arial" w:hAnsi="Arial" w:cs="Arial"/>
          <w:sz w:val="20"/>
          <w:szCs w:val="20"/>
        </w:rPr>
        <w:t>2</w:t>
      </w:r>
      <w:r w:rsidR="00B73FEA">
        <w:rPr>
          <w:rFonts w:ascii="Arial" w:hAnsi="Arial" w:cs="Arial"/>
          <w:sz w:val="20"/>
          <w:szCs w:val="20"/>
        </w:rPr>
        <w:t>9</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2"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3"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4"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1BC71507" w14:textId="77777777" w:rsidR="003C39AB" w:rsidRPr="00B73FEA" w:rsidRDefault="003C39AB" w:rsidP="00BA6703">
      <w:pPr>
        <w:pStyle w:val="NoSpacing"/>
        <w:rPr>
          <w:rFonts w:ascii="Arial" w:hAnsi="Arial" w:cs="Arial"/>
          <w:sz w:val="20"/>
          <w:szCs w:val="20"/>
        </w:rPr>
      </w:pPr>
    </w:p>
    <w:p w14:paraId="728D9C95" w14:textId="77777777" w:rsidR="00BA6703" w:rsidRPr="00B73FEA" w:rsidRDefault="00BA6703" w:rsidP="00BA6703">
      <w:pPr>
        <w:pStyle w:val="NoSpacing"/>
        <w:rPr>
          <w:rFonts w:ascii="Arial" w:hAnsi="Arial" w:cs="Arial"/>
          <w:sz w:val="20"/>
          <w:szCs w:val="20"/>
        </w:rPr>
      </w:pPr>
    </w:p>
    <w:p w14:paraId="4488A88F" w14:textId="77777777" w:rsidR="00BA6703" w:rsidRPr="00B73FEA" w:rsidRDefault="00BA6703" w:rsidP="00BA6703">
      <w:pPr>
        <w:pStyle w:val="NoSpacing"/>
        <w:rPr>
          <w:rFonts w:ascii="Arial" w:hAnsi="Arial" w:cs="Arial"/>
          <w:sz w:val="20"/>
          <w:szCs w:val="20"/>
        </w:rPr>
      </w:pPr>
    </w:p>
    <w:p w14:paraId="6EA3DF18" w14:textId="77777777" w:rsidR="00127477" w:rsidRPr="005A1DA4" w:rsidRDefault="00127477" w:rsidP="00BA6703">
      <w:pPr>
        <w:pStyle w:val="NoSpacing"/>
        <w:rPr>
          <w:rFonts w:ascii="Arial" w:hAnsi="Arial" w:cs="Arial"/>
          <w:sz w:val="20"/>
          <w:szCs w:val="20"/>
        </w:rPr>
      </w:pPr>
    </w:p>
    <w:sectPr w:rsidR="00127477" w:rsidRPr="005A1DA4" w:rsidSect="00020EF9">
      <w:headerReference w:type="default" r:id="rId15"/>
      <w:footerReference w:type="default" r:id="rId16"/>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8A43" w14:textId="77777777" w:rsidR="006901DF" w:rsidRDefault="006901DF" w:rsidP="005C6A11">
      <w:pPr>
        <w:spacing w:after="0" w:line="240" w:lineRule="auto"/>
      </w:pPr>
      <w:r>
        <w:separator/>
      </w:r>
    </w:p>
  </w:endnote>
  <w:endnote w:type="continuationSeparator" w:id="0">
    <w:p w14:paraId="41C56B0D" w14:textId="77777777" w:rsidR="006901DF" w:rsidRDefault="006901DF"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4D6C5F" w:rsidRPr="00030F05" w:rsidRDefault="00EE3028"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C5F">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4D6C5F" w:rsidRPr="00D43137" w:rsidRDefault="004D6C5F" w:rsidP="00D43137">
                    <w:pPr>
                      <w:pStyle w:val="NoSpacing"/>
                    </w:pPr>
                    <w:r w:rsidRPr="00D43137">
                      <w:t>FOR PUBLIC USE</w:t>
                    </w:r>
                  </w:p>
                </w:txbxContent>
              </v:textbox>
              <w10:wrap anchorx="margin"/>
            </v:shape>
          </w:pict>
        </mc:Fallback>
      </mc:AlternateContent>
    </w:r>
    <w:r w:rsidR="004D6C5F">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sidR="004D6C5F">
      <w:rPr>
        <w:sz w:val="16"/>
      </w:rPr>
      <w:t xml:space="preserve">Questions or looking for </w:t>
    </w:r>
    <w:r w:rsidR="004D6C5F" w:rsidRPr="00030F05">
      <w:rPr>
        <w:sz w:val="16"/>
      </w:rPr>
      <w:t>more information?</w:t>
    </w:r>
    <w:r w:rsidR="004D6C5F" w:rsidRPr="00030F05">
      <w:rPr>
        <w:sz w:val="16"/>
      </w:rPr>
      <w:br/>
      <w:t>www.</w:t>
    </w:r>
    <w:r w:rsidR="004D6C5F">
      <w:rPr>
        <w:sz w:val="16"/>
      </w:rPr>
      <w:t>circana</w:t>
    </w:r>
    <w:r w:rsidR="004D6C5F" w:rsidRPr="00030F05">
      <w:rPr>
        <w:sz w:val="16"/>
      </w:rPr>
      <w:t>.com</w:t>
    </w:r>
    <w:r w:rsidR="004D6C5F">
      <w:rPr>
        <w:sz w:val="16"/>
      </w:rPr>
      <w:tab/>
    </w:r>
    <w:r w:rsidR="004D6C5F">
      <w:rPr>
        <w:sz w:val="16"/>
      </w:rPr>
      <w:tab/>
    </w:r>
    <w:r w:rsidR="004D6C5F">
      <w:rPr>
        <w:sz w:val="16"/>
      </w:rPr>
      <w:tab/>
      <w:t>210 Analytics</w:t>
    </w:r>
  </w:p>
  <w:p w14:paraId="2869DE13" w14:textId="7F6C9337" w:rsidR="004D6C5F" w:rsidRDefault="00EE3028" w:rsidP="005C6A11">
    <w:pPr>
      <w:pStyle w:val="NoSpacing"/>
    </w:pPr>
    <w:hyperlink r:id="rId3" w:history="1">
      <w:r w:rsidRPr="00EE3028">
        <w:rPr>
          <w:rStyle w:val="Hyperlink"/>
          <w:sz w:val="16"/>
        </w:rPr>
        <w:t>Or reach us here</w:t>
      </w:r>
    </w:hyperlink>
    <w:r>
      <w:rPr>
        <w:sz w:val="16"/>
      </w:rPr>
      <w:tab/>
    </w:r>
    <w:r w:rsidR="004D6C5F">
      <w:rPr>
        <w:sz w:val="16"/>
      </w:rPr>
      <w:tab/>
    </w:r>
    <w:r w:rsidR="004D6C5F">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4D6C5F" w:rsidRPr="00030F05" w:rsidRDefault="004D6C5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4D6C5F" w:rsidRPr="00D43137" w:rsidRDefault="004D6C5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4D6C5F" w:rsidRDefault="004D6C5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C4E8" w14:textId="77777777" w:rsidR="006901DF" w:rsidRDefault="006901DF" w:rsidP="005C6A11">
      <w:pPr>
        <w:spacing w:after="0" w:line="240" w:lineRule="auto"/>
      </w:pPr>
      <w:r>
        <w:separator/>
      </w:r>
    </w:p>
  </w:footnote>
  <w:footnote w:type="continuationSeparator" w:id="0">
    <w:p w14:paraId="33C1372B" w14:textId="77777777" w:rsidR="006901DF" w:rsidRDefault="006901DF"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777777" w:rsidR="004D6C5F" w:rsidRDefault="004D6C5F">
    <w:pPr>
      <w:pStyle w:val="Header"/>
    </w:pP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148EC278">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565101"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6912" behindDoc="0" locked="0" layoutInCell="1" allowOverlap="1" wp14:anchorId="43C728C5" wp14:editId="4A73E9BA">
              <wp:simplePos x="0" y="0"/>
              <wp:positionH relativeFrom="margin">
                <wp:posOffset>3324860</wp:posOffset>
              </wp:positionH>
              <wp:positionV relativeFrom="paragraph">
                <wp:posOffset>-154305</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61.8pt;margin-top:-12.15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" filled="f" stroked="f" strokeweight=".5pt">
              <v:textbo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4D6C5F" w:rsidRDefault="004D6C5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671768">
    <w:abstractNumId w:val="0"/>
  </w:num>
  <w:num w:numId="2" w16cid:durableId="91560654">
    <w:abstractNumId w:val="3"/>
  </w:num>
  <w:num w:numId="3" w16cid:durableId="778723652">
    <w:abstractNumId w:val="6"/>
  </w:num>
  <w:num w:numId="4" w16cid:durableId="1896350508">
    <w:abstractNumId w:val="4"/>
  </w:num>
  <w:num w:numId="5" w16cid:durableId="253368832">
    <w:abstractNumId w:val="8"/>
  </w:num>
  <w:num w:numId="6" w16cid:durableId="1252083045">
    <w:abstractNumId w:val="5"/>
  </w:num>
  <w:num w:numId="7" w16cid:durableId="1546257196">
    <w:abstractNumId w:val="9"/>
  </w:num>
  <w:num w:numId="8" w16cid:durableId="925261030">
    <w:abstractNumId w:val="7"/>
  </w:num>
  <w:num w:numId="9" w16cid:durableId="717440932">
    <w:abstractNumId w:val="2"/>
  </w:num>
  <w:num w:numId="10" w16cid:durableId="7146529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427E"/>
    <w:rsid w:val="00085149"/>
    <w:rsid w:val="0008518D"/>
    <w:rsid w:val="0008541E"/>
    <w:rsid w:val="00086EE5"/>
    <w:rsid w:val="000873B8"/>
    <w:rsid w:val="000900F7"/>
    <w:rsid w:val="0009017B"/>
    <w:rsid w:val="00092982"/>
    <w:rsid w:val="0009299A"/>
    <w:rsid w:val="0009344B"/>
    <w:rsid w:val="0009383A"/>
    <w:rsid w:val="000941C5"/>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D0AD4"/>
    <w:rsid w:val="000D1817"/>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455E"/>
    <w:rsid w:val="00105762"/>
    <w:rsid w:val="001079DA"/>
    <w:rsid w:val="001100BE"/>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41DD4"/>
    <w:rsid w:val="00143263"/>
    <w:rsid w:val="001435B5"/>
    <w:rsid w:val="001445C0"/>
    <w:rsid w:val="0014464A"/>
    <w:rsid w:val="0014496F"/>
    <w:rsid w:val="001455FE"/>
    <w:rsid w:val="001462DB"/>
    <w:rsid w:val="0014683D"/>
    <w:rsid w:val="00147757"/>
    <w:rsid w:val="00147B4C"/>
    <w:rsid w:val="00147ED0"/>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80176"/>
    <w:rsid w:val="00280DC0"/>
    <w:rsid w:val="00281F4C"/>
    <w:rsid w:val="002833E7"/>
    <w:rsid w:val="00283E42"/>
    <w:rsid w:val="00284EB9"/>
    <w:rsid w:val="00286236"/>
    <w:rsid w:val="00286CA5"/>
    <w:rsid w:val="0029067D"/>
    <w:rsid w:val="00290936"/>
    <w:rsid w:val="0029148F"/>
    <w:rsid w:val="00292DD8"/>
    <w:rsid w:val="00293CE8"/>
    <w:rsid w:val="0029447C"/>
    <w:rsid w:val="00294807"/>
    <w:rsid w:val="00295B72"/>
    <w:rsid w:val="002A02A9"/>
    <w:rsid w:val="002A3A29"/>
    <w:rsid w:val="002A5DB0"/>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6017"/>
    <w:rsid w:val="00356FB0"/>
    <w:rsid w:val="00357E1B"/>
    <w:rsid w:val="00360523"/>
    <w:rsid w:val="0036063A"/>
    <w:rsid w:val="00363C22"/>
    <w:rsid w:val="00370395"/>
    <w:rsid w:val="003729C5"/>
    <w:rsid w:val="00374030"/>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70D8"/>
    <w:rsid w:val="003979A8"/>
    <w:rsid w:val="003A0E5B"/>
    <w:rsid w:val="003A13BB"/>
    <w:rsid w:val="003A2E68"/>
    <w:rsid w:val="003A30FF"/>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D64"/>
    <w:rsid w:val="004028C6"/>
    <w:rsid w:val="00402C0C"/>
    <w:rsid w:val="00402DF3"/>
    <w:rsid w:val="00402E47"/>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7672"/>
    <w:rsid w:val="0044018B"/>
    <w:rsid w:val="004409E5"/>
    <w:rsid w:val="004412D1"/>
    <w:rsid w:val="004429C8"/>
    <w:rsid w:val="004439EF"/>
    <w:rsid w:val="00443B41"/>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126A"/>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234C"/>
    <w:rsid w:val="00492743"/>
    <w:rsid w:val="004927EF"/>
    <w:rsid w:val="0049346A"/>
    <w:rsid w:val="004934F4"/>
    <w:rsid w:val="00495543"/>
    <w:rsid w:val="00496DD4"/>
    <w:rsid w:val="004970F6"/>
    <w:rsid w:val="0049727C"/>
    <w:rsid w:val="00497294"/>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013F"/>
    <w:rsid w:val="004D1E3B"/>
    <w:rsid w:val="004D25E1"/>
    <w:rsid w:val="004D2E26"/>
    <w:rsid w:val="004D332F"/>
    <w:rsid w:val="004D3E3E"/>
    <w:rsid w:val="004D403F"/>
    <w:rsid w:val="004D55C3"/>
    <w:rsid w:val="004D6C5F"/>
    <w:rsid w:val="004D79DF"/>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5756"/>
    <w:rsid w:val="00516DD8"/>
    <w:rsid w:val="0052012A"/>
    <w:rsid w:val="00520834"/>
    <w:rsid w:val="00520A46"/>
    <w:rsid w:val="005219C1"/>
    <w:rsid w:val="00521A09"/>
    <w:rsid w:val="00521A1B"/>
    <w:rsid w:val="00522539"/>
    <w:rsid w:val="00523442"/>
    <w:rsid w:val="00523B40"/>
    <w:rsid w:val="005253B8"/>
    <w:rsid w:val="005253DC"/>
    <w:rsid w:val="00525C4F"/>
    <w:rsid w:val="00526CA9"/>
    <w:rsid w:val="00526E2F"/>
    <w:rsid w:val="00531B34"/>
    <w:rsid w:val="00532089"/>
    <w:rsid w:val="0053357C"/>
    <w:rsid w:val="00533BA1"/>
    <w:rsid w:val="00534629"/>
    <w:rsid w:val="0053774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926"/>
    <w:rsid w:val="005B2C5A"/>
    <w:rsid w:val="005B7E4B"/>
    <w:rsid w:val="005C0E4A"/>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A2B"/>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6523"/>
    <w:rsid w:val="00606B89"/>
    <w:rsid w:val="006078DE"/>
    <w:rsid w:val="00610651"/>
    <w:rsid w:val="006109D4"/>
    <w:rsid w:val="00610AAD"/>
    <w:rsid w:val="00610F60"/>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601AF"/>
    <w:rsid w:val="006612B7"/>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4113"/>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42B80"/>
    <w:rsid w:val="00742CAB"/>
    <w:rsid w:val="007473CC"/>
    <w:rsid w:val="007479D9"/>
    <w:rsid w:val="00747F3F"/>
    <w:rsid w:val="00750E95"/>
    <w:rsid w:val="0075123D"/>
    <w:rsid w:val="007519A3"/>
    <w:rsid w:val="007527B7"/>
    <w:rsid w:val="00753A28"/>
    <w:rsid w:val="007543CD"/>
    <w:rsid w:val="007569DD"/>
    <w:rsid w:val="00756E5B"/>
    <w:rsid w:val="00756E82"/>
    <w:rsid w:val="00757653"/>
    <w:rsid w:val="007577F6"/>
    <w:rsid w:val="00757F5F"/>
    <w:rsid w:val="00761B28"/>
    <w:rsid w:val="007620A5"/>
    <w:rsid w:val="007623A5"/>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CF"/>
    <w:rsid w:val="00786960"/>
    <w:rsid w:val="00786BA4"/>
    <w:rsid w:val="00790CB4"/>
    <w:rsid w:val="007917D2"/>
    <w:rsid w:val="007918C4"/>
    <w:rsid w:val="0079278A"/>
    <w:rsid w:val="00792D82"/>
    <w:rsid w:val="00792DD7"/>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B0951"/>
    <w:rsid w:val="007B0BD6"/>
    <w:rsid w:val="007B0F66"/>
    <w:rsid w:val="007B1B5C"/>
    <w:rsid w:val="007B21B7"/>
    <w:rsid w:val="007B452E"/>
    <w:rsid w:val="007B481B"/>
    <w:rsid w:val="007B540D"/>
    <w:rsid w:val="007B61D3"/>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7415"/>
    <w:rsid w:val="0081781A"/>
    <w:rsid w:val="008202B8"/>
    <w:rsid w:val="00820EE4"/>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74E8"/>
    <w:rsid w:val="009B1032"/>
    <w:rsid w:val="009B1C92"/>
    <w:rsid w:val="009B1F36"/>
    <w:rsid w:val="009B23FF"/>
    <w:rsid w:val="009B28EA"/>
    <w:rsid w:val="009B4BF0"/>
    <w:rsid w:val="009B5D2A"/>
    <w:rsid w:val="009B61CF"/>
    <w:rsid w:val="009C0178"/>
    <w:rsid w:val="009C1E59"/>
    <w:rsid w:val="009C3DC6"/>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2674"/>
    <w:rsid w:val="009F2BBD"/>
    <w:rsid w:val="009F30DE"/>
    <w:rsid w:val="009F31DD"/>
    <w:rsid w:val="009F4B8E"/>
    <w:rsid w:val="009F66C3"/>
    <w:rsid w:val="009F7DE3"/>
    <w:rsid w:val="009F7F57"/>
    <w:rsid w:val="00A00BD7"/>
    <w:rsid w:val="00A01B39"/>
    <w:rsid w:val="00A02B19"/>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67B4"/>
    <w:rsid w:val="00A3682E"/>
    <w:rsid w:val="00A37101"/>
    <w:rsid w:val="00A372BF"/>
    <w:rsid w:val="00A3739A"/>
    <w:rsid w:val="00A37E8B"/>
    <w:rsid w:val="00A409D5"/>
    <w:rsid w:val="00A42E58"/>
    <w:rsid w:val="00A4358F"/>
    <w:rsid w:val="00A4478D"/>
    <w:rsid w:val="00A4515C"/>
    <w:rsid w:val="00A4545D"/>
    <w:rsid w:val="00A45483"/>
    <w:rsid w:val="00A46318"/>
    <w:rsid w:val="00A51837"/>
    <w:rsid w:val="00A51C65"/>
    <w:rsid w:val="00A52CC9"/>
    <w:rsid w:val="00A5360B"/>
    <w:rsid w:val="00A551F5"/>
    <w:rsid w:val="00A55560"/>
    <w:rsid w:val="00A56513"/>
    <w:rsid w:val="00A568B3"/>
    <w:rsid w:val="00A56D56"/>
    <w:rsid w:val="00A56F87"/>
    <w:rsid w:val="00A60310"/>
    <w:rsid w:val="00A60D54"/>
    <w:rsid w:val="00A618EB"/>
    <w:rsid w:val="00A630B5"/>
    <w:rsid w:val="00A6365C"/>
    <w:rsid w:val="00A63C83"/>
    <w:rsid w:val="00A65034"/>
    <w:rsid w:val="00A65F41"/>
    <w:rsid w:val="00A65FFF"/>
    <w:rsid w:val="00A66D73"/>
    <w:rsid w:val="00A67427"/>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58F8"/>
    <w:rsid w:val="00B26262"/>
    <w:rsid w:val="00B26CC6"/>
    <w:rsid w:val="00B27058"/>
    <w:rsid w:val="00B27295"/>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71335"/>
    <w:rsid w:val="00B71D12"/>
    <w:rsid w:val="00B727D3"/>
    <w:rsid w:val="00B739E9"/>
    <w:rsid w:val="00B73FEA"/>
    <w:rsid w:val="00B741BD"/>
    <w:rsid w:val="00B777A6"/>
    <w:rsid w:val="00B77837"/>
    <w:rsid w:val="00B77BDE"/>
    <w:rsid w:val="00B81393"/>
    <w:rsid w:val="00B813E6"/>
    <w:rsid w:val="00B822C4"/>
    <w:rsid w:val="00B830D3"/>
    <w:rsid w:val="00B834DE"/>
    <w:rsid w:val="00B839C1"/>
    <w:rsid w:val="00B86F96"/>
    <w:rsid w:val="00B92753"/>
    <w:rsid w:val="00B9290D"/>
    <w:rsid w:val="00B948A5"/>
    <w:rsid w:val="00B94DBE"/>
    <w:rsid w:val="00B97ADB"/>
    <w:rsid w:val="00BA0032"/>
    <w:rsid w:val="00BA1B67"/>
    <w:rsid w:val="00BA1DEC"/>
    <w:rsid w:val="00BA2544"/>
    <w:rsid w:val="00BA356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4094C"/>
    <w:rsid w:val="00C4135A"/>
    <w:rsid w:val="00C413E9"/>
    <w:rsid w:val="00C44381"/>
    <w:rsid w:val="00C44677"/>
    <w:rsid w:val="00C45452"/>
    <w:rsid w:val="00C45794"/>
    <w:rsid w:val="00C466B0"/>
    <w:rsid w:val="00C46FA0"/>
    <w:rsid w:val="00C50942"/>
    <w:rsid w:val="00C50E12"/>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1DC2"/>
    <w:rsid w:val="00CB24AB"/>
    <w:rsid w:val="00CB2929"/>
    <w:rsid w:val="00CB31C3"/>
    <w:rsid w:val="00CB32EE"/>
    <w:rsid w:val="00CB34EF"/>
    <w:rsid w:val="00CB4426"/>
    <w:rsid w:val="00CB57B7"/>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E75"/>
    <w:rsid w:val="00D04FF5"/>
    <w:rsid w:val="00D05809"/>
    <w:rsid w:val="00D0653E"/>
    <w:rsid w:val="00D06621"/>
    <w:rsid w:val="00D07FCA"/>
    <w:rsid w:val="00D1070B"/>
    <w:rsid w:val="00D10AB5"/>
    <w:rsid w:val="00D10E26"/>
    <w:rsid w:val="00D12080"/>
    <w:rsid w:val="00D1267C"/>
    <w:rsid w:val="00D12692"/>
    <w:rsid w:val="00D139E9"/>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6107"/>
    <w:rsid w:val="00E40A1A"/>
    <w:rsid w:val="00E41CCF"/>
    <w:rsid w:val="00E41E54"/>
    <w:rsid w:val="00E43343"/>
    <w:rsid w:val="00E44665"/>
    <w:rsid w:val="00E44BF7"/>
    <w:rsid w:val="00E44DAE"/>
    <w:rsid w:val="00E4510B"/>
    <w:rsid w:val="00E45EF4"/>
    <w:rsid w:val="00E504AB"/>
    <w:rsid w:val="00E50719"/>
    <w:rsid w:val="00E5115C"/>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D16"/>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34B"/>
    <w:rsid w:val="00ED19E8"/>
    <w:rsid w:val="00ED1C41"/>
    <w:rsid w:val="00ED4583"/>
    <w:rsid w:val="00ED5867"/>
    <w:rsid w:val="00ED626C"/>
    <w:rsid w:val="00ED686F"/>
    <w:rsid w:val="00EE1AAB"/>
    <w:rsid w:val="00EE3028"/>
    <w:rsid w:val="00EE4C35"/>
    <w:rsid w:val="00EE4F36"/>
    <w:rsid w:val="00EE69FA"/>
    <w:rsid w:val="00EE7077"/>
    <w:rsid w:val="00EE7493"/>
    <w:rsid w:val="00EF034C"/>
    <w:rsid w:val="00EF0D18"/>
    <w:rsid w:val="00EF0EF5"/>
    <w:rsid w:val="00EF1710"/>
    <w:rsid w:val="00EF2766"/>
    <w:rsid w:val="00EF2851"/>
    <w:rsid w:val="00EF394C"/>
    <w:rsid w:val="00EF3FFC"/>
    <w:rsid w:val="00EF4283"/>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FA2"/>
    <w:rsid w:val="00FC4C8F"/>
    <w:rsid w:val="00FC51A3"/>
    <w:rsid w:val="00FC541C"/>
    <w:rsid w:val="00FC65FC"/>
    <w:rsid w:val="00FD1952"/>
    <w:rsid w:val="00FD23E7"/>
    <w:rsid w:val="00FD41F4"/>
    <w:rsid w:val="00FD619D"/>
    <w:rsid w:val="00FD6247"/>
    <w:rsid w:val="00FD7624"/>
    <w:rsid w:val="00FE123D"/>
    <w:rsid w:val="00FE2B06"/>
    <w:rsid w:val="00FE3FB7"/>
    <w:rsid w:val="00FE426F"/>
    <w:rsid w:val="00FE532E"/>
    <w:rsid w:val="00FE5649"/>
    <w:rsid w:val="00FE569F"/>
    <w:rsid w:val="00FE66F9"/>
    <w:rsid w:val="00FE6A3D"/>
    <w:rsid w:val="00FE6E6B"/>
    <w:rsid w:val="00FE704A"/>
    <w:rsid w:val="00FE7B3B"/>
    <w:rsid w:val="00FE7EDF"/>
    <w:rsid w:val="00FF0085"/>
    <w:rsid w:val="00FF0AFB"/>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2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linkedin.com/showcase/msd-animal-heal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d-animal-healt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twitter.com/msdanimalhealt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6.787120359954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2.06146595892766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4300656767219169E-2"/>
                  <c:y val="3.04783946735091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3.2108486439195102E-2"/>
                  <c:y val="3.5552648570685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1.8774793561763682E-2"/>
                  <c:y val="4.1043753257044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Q2 25</c:v>
                </c:pt>
              </c:strCache>
            </c:strRef>
          </c:cat>
          <c:val>
            <c:numRef>
              <c:f>Sheet1!$B$2:$B$17</c:f>
              <c:numCache>
                <c:formatCode>0.0%</c:formatCode>
                <c:ptCount val="16"/>
                <c:pt idx="0">
                  <c:v>0.2048200166972387</c:v>
                </c:pt>
                <c:pt idx="1">
                  <c:v>9.8277108965361945E-2</c:v>
                </c:pt>
                <c:pt idx="2">
                  <c:v>4.1984639056850334E-2</c:v>
                </c:pt>
                <c:pt idx="3">
                  <c:v>6.505371460729209E-2</c:v>
                </c:pt>
                <c:pt idx="4">
                  <c:v>3.8459226024367459E-2</c:v>
                </c:pt>
                <c:pt idx="5">
                  <c:v>2.5134137186452299E-2</c:v>
                </c:pt>
                <c:pt idx="6">
                  <c:v>4.5887546751452145E-2</c:v>
                </c:pt>
                <c:pt idx="7">
                  <c:v>4.0676270782707222E-3</c:v>
                </c:pt>
                <c:pt idx="8">
                  <c:v>-9.0413468779247368E-3</c:v>
                </c:pt>
                <c:pt idx="9">
                  <c:v>-2.9790484393234711E-2</c:v>
                </c:pt>
                <c:pt idx="10">
                  <c:v>-4.4999999999999998E-2</c:v>
                </c:pt>
                <c:pt idx="11">
                  <c:v>-1.4999999999999999E-2</c:v>
                </c:pt>
                <c:pt idx="12">
                  <c:v>4.0000000000000001E-3</c:v>
                </c:pt>
                <c:pt idx="13">
                  <c:v>2.3E-2</c:v>
                </c:pt>
                <c:pt idx="14">
                  <c:v>2.5000000000000001E-2</c:v>
                </c:pt>
                <c:pt idx="15">
                  <c:v>5.0999999999999997E-2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3.4300656767219169E-2"/>
                  <c:y val="-3.73115980310768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3.5913661477246853E-2"/>
                  <c:y val="-4.7990071528598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2579968599815432E-2"/>
                  <c:y val="-4.6943197150220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Q2 25</c:v>
                </c:pt>
              </c:strCache>
            </c:strRef>
          </c:cat>
          <c:val>
            <c:numRef>
              <c:f>Sheet1!$C$2:$C$17</c:f>
              <c:numCache>
                <c:formatCode>0.0%</c:formatCode>
                <c:ptCount val="16"/>
                <c:pt idx="0">
                  <c:v>0.21612143755047789</c:v>
                </c:pt>
                <c:pt idx="1">
                  <c:v>2.9661600528784558E-2</c:v>
                </c:pt>
                <c:pt idx="2">
                  <c:v>-6.9006928508311915E-2</c:v>
                </c:pt>
                <c:pt idx="3">
                  <c:v>-6.0604176537040221E-2</c:v>
                </c:pt>
                <c:pt idx="4">
                  <c:v>-4.7327185792591861E-2</c:v>
                </c:pt>
                <c:pt idx="5">
                  <c:v>-3.3686664878362534E-2</c:v>
                </c:pt>
                <c:pt idx="6">
                  <c:v>-2.2463091503221268E-2</c:v>
                </c:pt>
                <c:pt idx="7">
                  <c:v>-1.8811345521405086E-2</c:v>
                </c:pt>
                <c:pt idx="8">
                  <c:v>-1.5225006700881137E-2</c:v>
                </c:pt>
                <c:pt idx="9">
                  <c:v>-4.255941365231905E-2</c:v>
                </c:pt>
                <c:pt idx="10">
                  <c:v>-2.5000000000000001E-2</c:v>
                </c:pt>
                <c:pt idx="11">
                  <c:v>-2E-3</c:v>
                </c:pt>
                <c:pt idx="12">
                  <c:v>4.0000000000000001E-3</c:v>
                </c:pt>
                <c:pt idx="13">
                  <c:v>2.4E-2</c:v>
                </c:pt>
                <c:pt idx="14">
                  <c:v>2.4E-2</c:v>
                </c:pt>
                <c:pt idx="15">
                  <c:v>6.8000000000000005E-2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4454727070788076"/>
          <c:w val="0.88336798413790596"/>
          <c:h val="0.83280721613268371"/>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3.3402388053953007E-2"/>
                  <c:y val="-5.03493451331201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4.2808840880592121E-2"/>
                  <c:y val="5.330094779162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2.9639806923297412E-2"/>
                  <c:y val="-3.68297417081540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503248929553075E-2"/>
                  <c:y val="9.836629254150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9569505125614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0575711946269294E-2"/>
                  <c:y val="6.2013203980901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6219583642252598E-2"/>
                  <c:y val="-7.4982487257352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6953138829615068E-2"/>
                  <c:y val="-4.184461583940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7960718060463494E-2"/>
                  <c:y val="-5.53925810468229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Q2 25</c:v>
                </c:pt>
              </c:strCache>
            </c:strRef>
          </c:cat>
          <c:val>
            <c:numRef>
              <c:f>Sheet1!$B$2:$B$17</c:f>
              <c:numCache>
                <c:formatCode>0.0%</c:formatCode>
                <c:ptCount val="16"/>
                <c:pt idx="0">
                  <c:v>0.43878525962161319</c:v>
                </c:pt>
                <c:pt idx="1">
                  <c:v>2.0446607749305748E-2</c:v>
                </c:pt>
                <c:pt idx="2">
                  <c:v>-0.19372159523663715</c:v>
                </c:pt>
                <c:pt idx="3">
                  <c:v>-0.21568443215096841</c:v>
                </c:pt>
                <c:pt idx="4">
                  <c:v>-0.11662998323529136</c:v>
                </c:pt>
                <c:pt idx="5">
                  <c:v>-9.5684531390933969E-2</c:v>
                </c:pt>
                <c:pt idx="6">
                  <c:v>1.5292022796500984E-2</c:v>
                </c:pt>
                <c:pt idx="7">
                  <c:v>-1.0536879344479753E-2</c:v>
                </c:pt>
                <c:pt idx="8">
                  <c:v>-8.046566298416695E-2</c:v>
                </c:pt>
                <c:pt idx="9">
                  <c:v>-0.10197981766643789</c:v>
                </c:pt>
                <c:pt idx="10">
                  <c:v>-0.10299999999999999</c:v>
                </c:pt>
                <c:pt idx="11">
                  <c:v>-9.4E-2</c:v>
                </c:pt>
                <c:pt idx="12">
                  <c:v>-0.03</c:v>
                </c:pt>
                <c:pt idx="13">
                  <c:v>-6.6000000000000003E-2</c:v>
                </c:pt>
                <c:pt idx="14">
                  <c:v>-3.6999999999999998E-2</c:v>
                </c:pt>
                <c:pt idx="15">
                  <c:v>-2.5000000000000001E-2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2.9639806923297412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5.1376228666934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4734697293682046E-2"/>
                  <c:y val="-8.2191175098475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7.9691043256378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042E-2"/>
                  <c:y val="-5.5522487655144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4.2808840880592253E-2"/>
                  <c:y val="4.69155178128329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6953138829615068E-2"/>
                  <c:y val="3.7895246029399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Q2 25</c:v>
                </c:pt>
              </c:strCache>
            </c:strRef>
          </c:cat>
          <c:val>
            <c:numRef>
              <c:f>Sheet1!$C$2:$C$17</c:f>
              <c:numCache>
                <c:formatCode>0.0%</c:formatCode>
                <c:ptCount val="16"/>
                <c:pt idx="0">
                  <c:v>0.38838021911923787</c:v>
                </c:pt>
                <c:pt idx="1">
                  <c:v>-4.2613655037908447E-2</c:v>
                </c:pt>
                <c:pt idx="2">
                  <c:v>-0.19148523329527564</c:v>
                </c:pt>
                <c:pt idx="3">
                  <c:v>-0.17548667146119049</c:v>
                </c:pt>
                <c:pt idx="4">
                  <c:v>-5.2642001773735923E-2</c:v>
                </c:pt>
                <c:pt idx="5">
                  <c:v>-1.5983682345610054E-2</c:v>
                </c:pt>
                <c:pt idx="6">
                  <c:v>0.11363120529620017</c:v>
                </c:pt>
                <c:pt idx="7">
                  <c:v>7.9793243820720741E-2</c:v>
                </c:pt>
                <c:pt idx="8">
                  <c:v>-2.4441282541258274E-3</c:v>
                </c:pt>
                <c:pt idx="9">
                  <c:v>1.5053952111881978E-2</c:v>
                </c:pt>
                <c:pt idx="10">
                  <c:v>-7.0000000000000007E-2</c:v>
                </c:pt>
                <c:pt idx="11">
                  <c:v>-7.5999999999999998E-2</c:v>
                </c:pt>
                <c:pt idx="12">
                  <c:v>-1.4E-2</c:v>
                </c:pt>
                <c:pt idx="13">
                  <c:v>-0.10100000000000001</c:v>
                </c:pt>
                <c:pt idx="14">
                  <c:v>-8.5000000000000006E-2</c:v>
                </c:pt>
                <c:pt idx="15">
                  <c:v>-7.8E-2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DC191-DBC7-410B-ACEB-2BCA42E5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2091</Words>
  <Characters>11925</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11</cp:revision>
  <dcterms:created xsi:type="dcterms:W3CDTF">2025-07-09T14:39:00Z</dcterms:created>
  <dcterms:modified xsi:type="dcterms:W3CDTF">2025-07-14T14:27:00Z</dcterms:modified>
</cp:coreProperties>
</file>