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A614" w14:textId="5CB3D91C" w:rsidR="00B617AE" w:rsidRPr="008375E1" w:rsidRDefault="00C853F3" w:rsidP="00B617AE">
      <w:pPr>
        <w:pStyle w:val="Heading1"/>
        <w:spacing w:before="0"/>
        <w:rPr>
          <w:rFonts w:ascii="Arial" w:hAnsi="Arial" w:cs="Arial"/>
          <w:color w:val="0F243E" w:themeColor="text2" w:themeShade="80"/>
          <w:sz w:val="32"/>
          <w:szCs w:val="32"/>
        </w:rPr>
      </w:pPr>
      <w:r w:rsidRPr="008375E1">
        <w:rPr>
          <w:rFonts w:ascii="Arial" w:hAnsi="Arial" w:cs="Arial"/>
          <w:color w:val="0F243E" w:themeColor="text2" w:themeShade="80"/>
          <w:sz w:val="32"/>
          <w:szCs w:val="32"/>
        </w:rPr>
        <w:t>March Was a Good Month for Seafood Sales</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0F31BC83" w:rsidR="003B2ECF" w:rsidRPr="003B2ECF" w:rsidRDefault="00C853F3"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March</w:t>
      </w:r>
      <w:r w:rsidR="003B2ECF" w:rsidRPr="003B2ECF">
        <w:rPr>
          <w:rFonts w:ascii="Arial" w:hAnsi="Arial" w:cs="Arial"/>
          <w:b/>
          <w:bCs/>
          <w:color w:val="00857C"/>
          <w:sz w:val="24"/>
          <w:szCs w:val="24"/>
        </w:rPr>
        <w:t xml:space="preserve"> Review</w:t>
      </w:r>
    </w:p>
    <w:bookmarkEnd w:id="0"/>
    <w:p w14:paraId="219955FB" w14:textId="77777777" w:rsidR="00C853F3" w:rsidRPr="003830CA" w:rsidRDefault="00C853F3" w:rsidP="00C853F3">
      <w:pPr>
        <w:pStyle w:val="NoSpacing"/>
        <w:numPr>
          <w:ilvl w:val="0"/>
          <w:numId w:val="6"/>
        </w:numPr>
        <w:rPr>
          <w:rFonts w:ascii="Arial" w:hAnsi="Arial" w:cs="Arial"/>
          <w:sz w:val="20"/>
          <w:szCs w:val="20"/>
        </w:rPr>
      </w:pPr>
      <w:r w:rsidRPr="003830CA">
        <w:rPr>
          <w:rFonts w:ascii="Arial" w:hAnsi="Arial" w:cs="Arial"/>
          <w:sz w:val="20"/>
          <w:szCs w:val="20"/>
        </w:rPr>
        <w:t>The University of Michigan's Consumer Sentiment Index for March 2025 declined to a reading of 57.0, marking a 11.9% month-over-month decline and a 28.2% year-over-year decrease from March 2024. The university attributes the decline to worsening expectations across various economic factors, including personal finances, labor markets, inflation, business conditions and stock markets.</w:t>
      </w:r>
    </w:p>
    <w:p w14:paraId="12843795" w14:textId="77777777" w:rsidR="00C853F3" w:rsidRPr="003830CA" w:rsidRDefault="00C853F3" w:rsidP="00C853F3">
      <w:pPr>
        <w:pStyle w:val="NoSpacing"/>
        <w:numPr>
          <w:ilvl w:val="0"/>
          <w:numId w:val="6"/>
        </w:numPr>
        <w:rPr>
          <w:rFonts w:ascii="Arial" w:hAnsi="Arial" w:cs="Arial"/>
          <w:sz w:val="20"/>
          <w:szCs w:val="20"/>
        </w:rPr>
      </w:pPr>
      <w:r w:rsidRPr="003830CA">
        <w:rPr>
          <w:rFonts w:ascii="Arial" w:hAnsi="Arial" w:cs="Arial"/>
          <w:sz w:val="20"/>
          <w:szCs w:val="20"/>
        </w:rPr>
        <w:t>The March Consumer Price Index (CPI) eased slightly, mostly due to a substantial drop in gasoline prices. Food prices told a different story. Food-at-home prices increased 2.4% year-over-year, while food-away-from-home prices rose 3.8%. The report landed just after a 90-day pause on reciprocal tariffs was announced. However, tariff news changes rapidly and has prompted consumer concern over prices and availability of goods.</w:t>
      </w:r>
    </w:p>
    <w:p w14:paraId="755507D9" w14:textId="00BEF24A" w:rsidR="00C853F3" w:rsidRPr="003830CA" w:rsidRDefault="00C853F3" w:rsidP="00C853F3">
      <w:pPr>
        <w:pStyle w:val="NoSpacing"/>
        <w:numPr>
          <w:ilvl w:val="0"/>
          <w:numId w:val="6"/>
        </w:numPr>
        <w:rPr>
          <w:rFonts w:ascii="Arial" w:hAnsi="Arial" w:cs="Arial"/>
          <w:sz w:val="20"/>
          <w:szCs w:val="20"/>
        </w:rPr>
      </w:pPr>
      <w:r w:rsidRPr="003830CA">
        <w:rPr>
          <w:rFonts w:ascii="Arial" w:hAnsi="Arial" w:cs="Arial"/>
          <w:sz w:val="20"/>
          <w:szCs w:val="20"/>
        </w:rPr>
        <w:t xml:space="preserve">The paralyzing effects of economic uncertainty, including inflation and tariffs, are leading to continued at-home meal preparation. According to the Circana shopper survey, 80% of all meal occasions were prepared at home in March. This share varied from 72.5% among Gen Z to 86.6% among Older Boomers. </w:t>
      </w:r>
    </w:p>
    <w:p w14:paraId="5A1AFCED" w14:textId="022A8921" w:rsidR="00C853F3" w:rsidRPr="003830CA" w:rsidRDefault="00C853F3" w:rsidP="00C853F3">
      <w:pPr>
        <w:pStyle w:val="NoSpacing"/>
        <w:numPr>
          <w:ilvl w:val="0"/>
          <w:numId w:val="6"/>
        </w:numPr>
        <w:rPr>
          <w:rFonts w:ascii="Arial" w:hAnsi="Arial" w:cs="Arial"/>
          <w:sz w:val="20"/>
          <w:szCs w:val="20"/>
        </w:rPr>
      </w:pPr>
      <w:r w:rsidRPr="003830CA">
        <w:rPr>
          <w:rFonts w:ascii="Arial" w:hAnsi="Arial" w:cs="Arial"/>
          <w:sz w:val="20"/>
          <w:szCs w:val="20"/>
        </w:rPr>
        <w:t xml:space="preserve">Retail is not isolated from behavioral changes in response to economic pressure. </w:t>
      </w:r>
      <w:r>
        <w:rPr>
          <w:rFonts w:ascii="Arial" w:hAnsi="Arial" w:cs="Arial"/>
          <w:sz w:val="20"/>
          <w:szCs w:val="20"/>
        </w:rPr>
        <w:t>Grocery m</w:t>
      </w:r>
      <w:r w:rsidRPr="003830CA">
        <w:rPr>
          <w:rFonts w:ascii="Arial" w:hAnsi="Arial" w:cs="Arial"/>
          <w:sz w:val="20"/>
          <w:szCs w:val="20"/>
        </w:rPr>
        <w:t xml:space="preserve">oney-saving measures are widespread. </w:t>
      </w:r>
      <w:r w:rsidR="00FA6FAE">
        <w:rPr>
          <w:rFonts w:ascii="Arial" w:hAnsi="Arial" w:cs="Arial"/>
          <w:sz w:val="20"/>
          <w:szCs w:val="20"/>
        </w:rPr>
        <w:t>Per Circana, f</w:t>
      </w:r>
      <w:r w:rsidRPr="003830CA">
        <w:rPr>
          <w:rFonts w:ascii="Arial" w:hAnsi="Arial" w:cs="Arial"/>
          <w:sz w:val="20"/>
          <w:szCs w:val="20"/>
        </w:rPr>
        <w:t xml:space="preserve">our population groups are showing a greater propensity for </w:t>
      </w:r>
      <w:r>
        <w:rPr>
          <w:rFonts w:ascii="Arial" w:hAnsi="Arial" w:cs="Arial"/>
          <w:sz w:val="20"/>
          <w:szCs w:val="20"/>
        </w:rPr>
        <w:t>seeking savings</w:t>
      </w:r>
      <w:r w:rsidRPr="003830CA">
        <w:rPr>
          <w:rFonts w:ascii="Arial" w:hAnsi="Arial" w:cs="Arial"/>
          <w:sz w:val="20"/>
          <w:szCs w:val="20"/>
        </w:rPr>
        <w:t xml:space="preserve">. These include U.S. Hispanic consumers, households with incomes of less than $50,000 annually, rural households and consumers aged 55 and up. Importantly, households in the upper income brackets, who have been critical in growing retail spending for the past few years are </w:t>
      </w:r>
      <w:r>
        <w:rPr>
          <w:rFonts w:ascii="Arial" w:hAnsi="Arial" w:cs="Arial"/>
          <w:sz w:val="20"/>
          <w:szCs w:val="20"/>
        </w:rPr>
        <w:t xml:space="preserve">also starting to reduce their </w:t>
      </w:r>
      <w:r w:rsidRPr="003830CA">
        <w:rPr>
          <w:rFonts w:ascii="Arial" w:hAnsi="Arial" w:cs="Arial"/>
          <w:sz w:val="20"/>
          <w:szCs w:val="20"/>
        </w:rPr>
        <w:t>retail spending</w:t>
      </w:r>
      <w:r>
        <w:rPr>
          <w:rFonts w:ascii="Arial" w:hAnsi="Arial" w:cs="Arial"/>
          <w:sz w:val="20"/>
          <w:szCs w:val="20"/>
        </w:rPr>
        <w:t xml:space="preserve"> recently</w:t>
      </w:r>
      <w:r w:rsidRPr="003830CA">
        <w:rPr>
          <w:rFonts w:ascii="Arial" w:hAnsi="Arial" w:cs="Arial"/>
          <w:sz w:val="20"/>
          <w:szCs w:val="20"/>
        </w:rPr>
        <w:t xml:space="preserve">. </w:t>
      </w:r>
    </w:p>
    <w:p w14:paraId="5865FBEB" w14:textId="77777777" w:rsidR="00C853F3" w:rsidRPr="003830CA" w:rsidRDefault="00C853F3" w:rsidP="00C853F3">
      <w:pPr>
        <w:pStyle w:val="NoSpacing"/>
        <w:numPr>
          <w:ilvl w:val="0"/>
          <w:numId w:val="6"/>
        </w:numPr>
        <w:rPr>
          <w:rFonts w:ascii="Arial" w:hAnsi="Arial" w:cs="Arial"/>
          <w:sz w:val="20"/>
          <w:szCs w:val="20"/>
        </w:rPr>
      </w:pPr>
      <w:r w:rsidRPr="003830CA">
        <w:rPr>
          <w:rFonts w:ascii="Arial" w:hAnsi="Arial" w:cs="Arial"/>
          <w:sz w:val="20"/>
          <w:szCs w:val="20"/>
        </w:rPr>
        <w:t>The March numbers are heavily impacted by the shift in Easter which falls substantially later in 2025 (April 20</w:t>
      </w:r>
      <w:r w:rsidRPr="003830CA">
        <w:rPr>
          <w:rFonts w:ascii="Arial" w:hAnsi="Arial" w:cs="Arial"/>
          <w:sz w:val="20"/>
          <w:szCs w:val="20"/>
          <w:vertAlign w:val="superscript"/>
        </w:rPr>
        <w:t>th</w:t>
      </w:r>
      <w:r w:rsidRPr="003830CA">
        <w:rPr>
          <w:rFonts w:ascii="Arial" w:hAnsi="Arial" w:cs="Arial"/>
          <w:sz w:val="20"/>
          <w:szCs w:val="20"/>
        </w:rPr>
        <w:t>) than in 2024 (March 31</w:t>
      </w:r>
      <w:r w:rsidRPr="003830CA">
        <w:rPr>
          <w:rFonts w:ascii="Arial" w:hAnsi="Arial" w:cs="Arial"/>
          <w:sz w:val="20"/>
          <w:szCs w:val="20"/>
          <w:vertAlign w:val="superscript"/>
        </w:rPr>
        <w:t>st</w:t>
      </w:r>
      <w:r w:rsidRPr="003830CA">
        <w:rPr>
          <w:rFonts w:ascii="Arial" w:hAnsi="Arial" w:cs="Arial"/>
          <w:sz w:val="20"/>
          <w:szCs w:val="20"/>
        </w:rPr>
        <w:t xml:space="preserve">). This shifted holiday volume from March to April (and from the first to the second quarter), but also impacts promotional levels, prices, etc. </w:t>
      </w:r>
    </w:p>
    <w:p w14:paraId="7269E2BE" w14:textId="77777777" w:rsidR="003B2ECF" w:rsidRPr="00212ABA" w:rsidRDefault="003B2ECF" w:rsidP="003B2ECF">
      <w:pPr>
        <w:pStyle w:val="NoSpacing"/>
        <w:rPr>
          <w:rFonts w:ascii="Arial" w:hAnsi="Arial" w:cs="Arial"/>
          <w:sz w:val="20"/>
          <w:szCs w:val="20"/>
        </w:rPr>
      </w:pPr>
    </w:p>
    <w:p w14:paraId="632C80A4" w14:textId="77777777" w:rsidR="003B2ECF" w:rsidRPr="003B2ECF" w:rsidRDefault="003B2ECF" w:rsidP="003B2ECF">
      <w:pPr>
        <w:pStyle w:val="NoSpacing"/>
        <w:rPr>
          <w:rFonts w:ascii="Arial" w:hAnsi="Arial" w:cs="Arial"/>
          <w:b/>
          <w:color w:val="00857C"/>
          <w:sz w:val="24"/>
          <w:szCs w:val="24"/>
        </w:rPr>
      </w:pPr>
      <w:bookmarkStart w:id="4" w:name="_Hlk187580162"/>
      <w:r w:rsidRPr="003B2ECF">
        <w:rPr>
          <w:rFonts w:ascii="Arial" w:hAnsi="Arial" w:cs="Arial"/>
          <w:b/>
          <w:color w:val="00857C"/>
          <w:sz w:val="24"/>
          <w:szCs w:val="24"/>
        </w:rPr>
        <w:t>Inflation Insights</w:t>
      </w:r>
    </w:p>
    <w:p w14:paraId="0F99803C" w14:textId="55A3D244" w:rsidR="00C853F3" w:rsidRPr="003830CA" w:rsidRDefault="00C853F3" w:rsidP="00C853F3">
      <w:pPr>
        <w:pStyle w:val="NoSpacing"/>
        <w:rPr>
          <w:rFonts w:ascii="Arial" w:hAnsi="Arial" w:cs="Arial"/>
          <w:sz w:val="20"/>
          <w:szCs w:val="20"/>
        </w:rPr>
      </w:pPr>
      <w:bookmarkStart w:id="5" w:name="_Hlk182721801"/>
      <w:bookmarkEnd w:id="1"/>
      <w:bookmarkEnd w:id="2"/>
      <w:bookmarkEnd w:id="3"/>
      <w:bookmarkEnd w:id="4"/>
      <w:r w:rsidRPr="003830CA">
        <w:rPr>
          <w:rFonts w:ascii="Arial" w:hAnsi="Arial" w:cs="Arial"/>
          <w:sz w:val="20"/>
          <w:szCs w:val="20"/>
        </w:rPr>
        <w:t xml:space="preserve">In March 2025 (the four weeks ending 3/30/2025), the price per unit across all foods and beverages in the Circana MULO+ universe stood at $4.32. This reflects an increase of 3.3% over March 2024. This is very similar to the first quarter of 2025 average and increase. </w:t>
      </w:r>
      <w:r w:rsidR="000A3117" w:rsidRPr="003830CA">
        <w:rPr>
          <w:rFonts w:ascii="Arial" w:hAnsi="Arial" w:cs="Arial"/>
          <w:sz w:val="20"/>
          <w:szCs w:val="20"/>
        </w:rPr>
        <w:t xml:space="preserve">Importantly, the average price per unit is impacted by the shift in Easter. Retailers tend to run aggressive holiday promotions in advance of major holidays. The Easter shift resulted in a 6.3% decrease in merchandised dollars in March 2025 versus March 2024. </w:t>
      </w:r>
      <w:r w:rsidRPr="003830CA">
        <w:rPr>
          <w:rFonts w:ascii="Arial" w:hAnsi="Arial" w:cs="Arial"/>
          <w:sz w:val="20"/>
          <w:szCs w:val="20"/>
        </w:rPr>
        <w:t xml:space="preserve">Center-store prices averaged $4.05, an increase of 3.5% over March 2024. Fresh food prices averaged $4.31, which was an increase of 3.8% over March 2024. Eggs continued to have a substantial impact on the overall fresh perimeter and total store price points. On a per unit basis, eggs averaged $8.00, which reflects an increase of 72.2% over March 2024. </w:t>
      </w:r>
    </w:p>
    <w:bookmarkEnd w:id="5"/>
    <w:p w14:paraId="0ED944E8" w14:textId="77777777" w:rsidR="00C853F3" w:rsidRDefault="00C853F3" w:rsidP="00C853F3">
      <w:pPr>
        <w:pStyle w:val="NoSpacing"/>
        <w:rPr>
          <w:rFonts w:ascii="Arial" w:hAnsi="Arial" w:cs="Arial"/>
          <w:sz w:val="20"/>
          <w:szCs w:val="20"/>
        </w:rPr>
      </w:pPr>
    </w:p>
    <w:tbl>
      <w:tblPr>
        <w:tblStyle w:val="GridTable4"/>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61"/>
        <w:gridCol w:w="862"/>
        <w:gridCol w:w="862"/>
        <w:gridCol w:w="861"/>
        <w:gridCol w:w="862"/>
        <w:gridCol w:w="862"/>
        <w:gridCol w:w="862"/>
        <w:gridCol w:w="861"/>
        <w:gridCol w:w="862"/>
        <w:gridCol w:w="862"/>
        <w:gridCol w:w="772"/>
      </w:tblGrid>
      <w:tr w:rsidR="00C853F3" w:rsidRPr="00545B05" w14:paraId="186590E7" w14:textId="77777777" w:rsidTr="00C853F3">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40353A38" w14:textId="77777777" w:rsidR="00C853F3" w:rsidRPr="002E7AF4" w:rsidRDefault="00C853F3" w:rsidP="009279C8">
            <w:pPr>
              <w:pStyle w:val="NoSpacing"/>
              <w:rPr>
                <w:rFonts w:ascii="Arial" w:hAnsi="Arial" w:cs="Arial"/>
                <w:sz w:val="18"/>
              </w:rPr>
            </w:pPr>
            <w:r w:rsidRPr="002E7AF4">
              <w:rPr>
                <w:rFonts w:ascii="Arial" w:hAnsi="Arial" w:cs="Arial"/>
                <w:sz w:val="18"/>
              </w:rPr>
              <w:t>Food &amp; beverages</w:t>
            </w:r>
          </w:p>
        </w:tc>
        <w:tc>
          <w:tcPr>
            <w:tcW w:w="861" w:type="dxa"/>
            <w:shd w:val="clear" w:color="auto" w:fill="17365D" w:themeFill="text2" w:themeFillShade="BF"/>
            <w:vAlign w:val="center"/>
            <w:hideMark/>
          </w:tcPr>
          <w:p w14:paraId="55074A30"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62" w:type="dxa"/>
            <w:shd w:val="clear" w:color="auto" w:fill="17365D" w:themeFill="text2" w:themeFillShade="BF"/>
            <w:vAlign w:val="center"/>
            <w:hideMark/>
          </w:tcPr>
          <w:p w14:paraId="13B5F718"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62" w:type="dxa"/>
            <w:shd w:val="clear" w:color="auto" w:fill="17365D" w:themeFill="text2" w:themeFillShade="BF"/>
            <w:vAlign w:val="center"/>
            <w:hideMark/>
          </w:tcPr>
          <w:p w14:paraId="46D51D86"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61" w:type="dxa"/>
            <w:shd w:val="clear" w:color="auto" w:fill="17365D" w:themeFill="text2" w:themeFillShade="BF"/>
            <w:vAlign w:val="center"/>
            <w:hideMark/>
          </w:tcPr>
          <w:p w14:paraId="78DA744B"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62" w:type="dxa"/>
            <w:shd w:val="clear" w:color="auto" w:fill="17365D" w:themeFill="text2" w:themeFillShade="BF"/>
            <w:vAlign w:val="center"/>
            <w:hideMark/>
          </w:tcPr>
          <w:p w14:paraId="6FAC608C"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62" w:type="dxa"/>
            <w:shd w:val="clear" w:color="auto" w:fill="17365D" w:themeFill="text2" w:themeFillShade="BF"/>
            <w:vAlign w:val="center"/>
          </w:tcPr>
          <w:p w14:paraId="4300CC13"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62" w:type="dxa"/>
            <w:shd w:val="clear" w:color="auto" w:fill="17365D" w:themeFill="text2" w:themeFillShade="BF"/>
            <w:vAlign w:val="center"/>
          </w:tcPr>
          <w:p w14:paraId="10A1E06D"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Q2 2024</w:t>
            </w:r>
          </w:p>
        </w:tc>
        <w:tc>
          <w:tcPr>
            <w:tcW w:w="861" w:type="dxa"/>
            <w:shd w:val="clear" w:color="auto" w:fill="17365D" w:themeFill="text2" w:themeFillShade="BF"/>
            <w:vAlign w:val="center"/>
          </w:tcPr>
          <w:p w14:paraId="2D2B822D"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62" w:type="dxa"/>
            <w:shd w:val="clear" w:color="auto" w:fill="17365D" w:themeFill="text2" w:themeFillShade="BF"/>
            <w:vAlign w:val="center"/>
          </w:tcPr>
          <w:p w14:paraId="792DC43F"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62" w:type="dxa"/>
            <w:shd w:val="clear" w:color="auto" w:fill="17365D" w:themeFill="text2" w:themeFillShade="BF"/>
            <w:vAlign w:val="center"/>
            <w:hideMark/>
          </w:tcPr>
          <w:p w14:paraId="6BCEA529"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72" w:type="dxa"/>
            <w:shd w:val="clear" w:color="auto" w:fill="17365D" w:themeFill="text2" w:themeFillShade="BF"/>
            <w:vAlign w:val="center"/>
            <w:hideMark/>
          </w:tcPr>
          <w:p w14:paraId="71A314E5" w14:textId="77777777" w:rsidR="00C853F3" w:rsidRPr="002E7AF4" w:rsidRDefault="00C853F3" w:rsidP="009279C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Mar</w:t>
            </w:r>
            <w:r w:rsidRPr="002E7AF4">
              <w:rPr>
                <w:rFonts w:ascii="Arial" w:hAnsi="Arial" w:cs="Arial"/>
                <w:sz w:val="18"/>
              </w:rPr>
              <w:br/>
              <w:t>202</w:t>
            </w:r>
            <w:r>
              <w:rPr>
                <w:rFonts w:ascii="Arial" w:hAnsi="Arial" w:cs="Arial"/>
                <w:sz w:val="18"/>
              </w:rPr>
              <w:t>5</w:t>
            </w:r>
          </w:p>
        </w:tc>
      </w:tr>
      <w:tr w:rsidR="00C853F3" w:rsidRPr="00545B05" w14:paraId="359AAA70" w14:textId="77777777" w:rsidTr="00C853F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0B749D34" w14:textId="77777777" w:rsidR="00C853F3" w:rsidRPr="000A3117" w:rsidRDefault="00C853F3" w:rsidP="009279C8">
            <w:pPr>
              <w:pStyle w:val="NoSpacing"/>
              <w:rPr>
                <w:rFonts w:ascii="Arial" w:hAnsi="Arial" w:cs="Arial"/>
                <w:b w:val="0"/>
                <w:bCs w:val="0"/>
                <w:sz w:val="18"/>
              </w:rPr>
            </w:pPr>
            <w:r w:rsidRPr="000A3117">
              <w:rPr>
                <w:rFonts w:ascii="Arial" w:hAnsi="Arial" w:cs="Arial"/>
                <w:b w:val="0"/>
                <w:bCs w:val="0"/>
                <w:sz w:val="18"/>
              </w:rPr>
              <w:t>PPU</w:t>
            </w:r>
          </w:p>
        </w:tc>
        <w:tc>
          <w:tcPr>
            <w:tcW w:w="861" w:type="dxa"/>
            <w:vAlign w:val="center"/>
          </w:tcPr>
          <w:p w14:paraId="13BF789C"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62" w:type="dxa"/>
            <w:vAlign w:val="center"/>
          </w:tcPr>
          <w:p w14:paraId="3382AC4C"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62" w:type="dxa"/>
            <w:vAlign w:val="center"/>
          </w:tcPr>
          <w:p w14:paraId="3718BF38"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61" w:type="dxa"/>
            <w:vAlign w:val="center"/>
          </w:tcPr>
          <w:p w14:paraId="4B6C987E"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62" w:type="dxa"/>
            <w:vAlign w:val="center"/>
          </w:tcPr>
          <w:p w14:paraId="2022E8C0"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62" w:type="dxa"/>
            <w:vAlign w:val="center"/>
          </w:tcPr>
          <w:p w14:paraId="7647D275"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62" w:type="dxa"/>
            <w:vAlign w:val="center"/>
          </w:tcPr>
          <w:p w14:paraId="3C61C1FF"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61" w:type="dxa"/>
            <w:vAlign w:val="center"/>
          </w:tcPr>
          <w:p w14:paraId="0D5C3845"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62" w:type="dxa"/>
            <w:vAlign w:val="center"/>
          </w:tcPr>
          <w:p w14:paraId="25E7605F"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62" w:type="dxa"/>
            <w:vAlign w:val="center"/>
          </w:tcPr>
          <w:p w14:paraId="3868E3EB"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772" w:type="dxa"/>
            <w:vAlign w:val="center"/>
          </w:tcPr>
          <w:p w14:paraId="2AFC8C2F" w14:textId="77777777" w:rsidR="00C853F3" w:rsidRPr="002E7AF4" w:rsidRDefault="00C853F3" w:rsidP="009279C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r>
      <w:tr w:rsidR="00C853F3" w:rsidRPr="00545B05" w14:paraId="1483BF8C" w14:textId="77777777" w:rsidTr="00C853F3">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989497B" w14:textId="77777777" w:rsidR="00C853F3" w:rsidRPr="000A3117" w:rsidRDefault="00C853F3" w:rsidP="009279C8">
            <w:pPr>
              <w:pStyle w:val="NoSpacing"/>
              <w:rPr>
                <w:rFonts w:ascii="Arial" w:hAnsi="Arial" w:cs="Arial"/>
                <w:b w:val="0"/>
                <w:bCs w:val="0"/>
                <w:sz w:val="18"/>
              </w:rPr>
            </w:pPr>
            <w:r w:rsidRPr="000A3117">
              <w:rPr>
                <w:rFonts w:ascii="Arial" w:hAnsi="Arial" w:cs="Arial"/>
                <w:b w:val="0"/>
                <w:bCs w:val="0"/>
                <w:sz w:val="18"/>
              </w:rPr>
              <w:t xml:space="preserve">Change </w:t>
            </w:r>
          </w:p>
        </w:tc>
        <w:tc>
          <w:tcPr>
            <w:tcW w:w="861" w:type="dxa"/>
            <w:vAlign w:val="center"/>
            <w:hideMark/>
          </w:tcPr>
          <w:p w14:paraId="72D4AF66"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62" w:type="dxa"/>
            <w:vAlign w:val="center"/>
            <w:hideMark/>
          </w:tcPr>
          <w:p w14:paraId="6459D357"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62" w:type="dxa"/>
            <w:vAlign w:val="center"/>
            <w:hideMark/>
          </w:tcPr>
          <w:p w14:paraId="650D9109"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61" w:type="dxa"/>
            <w:vAlign w:val="center"/>
            <w:hideMark/>
          </w:tcPr>
          <w:p w14:paraId="5481FDB4"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62" w:type="dxa"/>
            <w:vAlign w:val="center"/>
            <w:hideMark/>
          </w:tcPr>
          <w:p w14:paraId="19EED0C3"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62" w:type="dxa"/>
            <w:vAlign w:val="center"/>
          </w:tcPr>
          <w:p w14:paraId="79CB91AB"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62" w:type="dxa"/>
            <w:vAlign w:val="center"/>
          </w:tcPr>
          <w:p w14:paraId="11A03C3E"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+1.5%</w:t>
            </w:r>
          </w:p>
        </w:tc>
        <w:tc>
          <w:tcPr>
            <w:tcW w:w="861" w:type="dxa"/>
            <w:vAlign w:val="center"/>
          </w:tcPr>
          <w:p w14:paraId="4B33D863"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62" w:type="dxa"/>
            <w:vAlign w:val="center"/>
          </w:tcPr>
          <w:p w14:paraId="1F011AD8"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62" w:type="dxa"/>
            <w:vAlign w:val="center"/>
            <w:hideMark/>
          </w:tcPr>
          <w:p w14:paraId="086F91E3"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772" w:type="dxa"/>
            <w:vAlign w:val="center"/>
            <w:hideMark/>
          </w:tcPr>
          <w:p w14:paraId="3B3C5488" w14:textId="77777777" w:rsidR="00C853F3" w:rsidRPr="002E7AF4" w:rsidRDefault="00C853F3" w:rsidP="009279C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3.3</w:t>
            </w:r>
            <w:r w:rsidRPr="002E7AF4">
              <w:rPr>
                <w:rFonts w:ascii="Arial" w:hAnsi="Arial" w:cs="Arial"/>
                <w:sz w:val="18"/>
              </w:rPr>
              <w:t>%</w:t>
            </w:r>
          </w:p>
        </w:tc>
      </w:tr>
    </w:tbl>
    <w:p w14:paraId="1D58250B" w14:textId="77777777" w:rsidR="00C853F3" w:rsidRPr="00492C26" w:rsidRDefault="00C853F3" w:rsidP="00C853F3">
      <w:pPr>
        <w:pStyle w:val="NoSpacing"/>
        <w:rPr>
          <w:sz w:val="8"/>
          <w:szCs w:val="8"/>
        </w:rPr>
      </w:pPr>
    </w:p>
    <w:p w14:paraId="5991DFE6" w14:textId="77777777" w:rsidR="00C853F3" w:rsidRPr="00B7673F" w:rsidRDefault="00C853F3" w:rsidP="00C853F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2ED3DC6A" w14:textId="657A55D3" w:rsidR="00E9208C" w:rsidRDefault="00E9208C" w:rsidP="00CF02B0">
      <w:pPr>
        <w:spacing w:after="0" w:line="240" w:lineRule="auto"/>
        <w:rPr>
          <w:rFonts w:ascii="Arial" w:hAnsi="Arial" w:cs="Arial"/>
          <w:bCs/>
          <w:color w:val="000000" w:themeColor="text1"/>
          <w:sz w:val="20"/>
          <w:szCs w:val="20"/>
        </w:rPr>
      </w:pPr>
    </w:p>
    <w:p w14:paraId="1A77860E" w14:textId="0941A8B7" w:rsidR="00DC5164" w:rsidRDefault="004A1434"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 xml:space="preserve">After a mismatch in the February reporting, the four March weeks reflect Lent purchasing patterns in both 2025 and 2024. Prices </w:t>
      </w:r>
      <w:r w:rsidR="00FA6FAE">
        <w:rPr>
          <w:rFonts w:ascii="Arial" w:hAnsi="Arial" w:cs="Arial"/>
          <w:bCs/>
          <w:color w:val="000000" w:themeColor="text1"/>
          <w:sz w:val="20"/>
          <w:szCs w:val="20"/>
        </w:rPr>
        <w:t xml:space="preserve">were fairly stable for </w:t>
      </w:r>
      <w:r>
        <w:rPr>
          <w:rFonts w:ascii="Arial" w:hAnsi="Arial" w:cs="Arial"/>
          <w:bCs/>
          <w:color w:val="000000" w:themeColor="text1"/>
          <w:sz w:val="20"/>
          <w:szCs w:val="20"/>
        </w:rPr>
        <w:t>refrigerated seafood in the shorter- and longer-term</w:t>
      </w:r>
      <w:r w:rsidR="00FA6FAE">
        <w:rPr>
          <w:rFonts w:ascii="Arial" w:hAnsi="Arial" w:cs="Arial"/>
          <w:bCs/>
          <w:color w:val="000000" w:themeColor="text1"/>
          <w:sz w:val="20"/>
          <w:szCs w:val="20"/>
        </w:rPr>
        <w:t xml:space="preserve">, balancing </w:t>
      </w:r>
      <w:r>
        <w:rPr>
          <w:rFonts w:ascii="Arial" w:hAnsi="Arial" w:cs="Arial"/>
          <w:bCs/>
          <w:color w:val="000000" w:themeColor="text1"/>
          <w:sz w:val="20"/>
          <w:szCs w:val="20"/>
        </w:rPr>
        <w:t xml:space="preserve">a slight increase for shellfish versus deflation in finfish. Prices in shelf-stable are down year-over-year. Retailers ran more promotions in shelf-stable seafood, but cut back slightly on specials in frozen and refrigerated seafood </w:t>
      </w:r>
      <w:r w:rsidR="00FA6FAE">
        <w:rPr>
          <w:rFonts w:ascii="Arial" w:hAnsi="Arial" w:cs="Arial"/>
          <w:bCs/>
          <w:color w:val="000000" w:themeColor="text1"/>
          <w:sz w:val="20"/>
          <w:szCs w:val="20"/>
        </w:rPr>
        <w:t xml:space="preserve">versus </w:t>
      </w:r>
      <w:r>
        <w:rPr>
          <w:rFonts w:ascii="Arial" w:hAnsi="Arial" w:cs="Arial"/>
          <w:bCs/>
          <w:color w:val="000000" w:themeColor="text1"/>
          <w:sz w:val="20"/>
          <w:szCs w:val="20"/>
        </w:rPr>
        <w:t xml:space="preserve">2024. </w:t>
      </w:r>
    </w:p>
    <w:p w14:paraId="3492B4B7" w14:textId="6138A446" w:rsidR="00DC1B33" w:rsidRPr="00F97C2B" w:rsidRDefault="00DC1B33" w:rsidP="00CF02B0">
      <w:pPr>
        <w:spacing w:after="0" w:line="240" w:lineRule="auto"/>
        <w:rPr>
          <w:rFonts w:ascii="Arial" w:hAnsi="Arial" w:cs="Arial"/>
          <w:bCs/>
          <w:color w:val="000000" w:themeColor="text1"/>
          <w:sz w:val="16"/>
          <w:szCs w:val="16"/>
        </w:rPr>
      </w:pP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27"/>
        <w:gridCol w:w="1549"/>
        <w:gridCol w:w="980"/>
        <w:gridCol w:w="1341"/>
        <w:gridCol w:w="1335"/>
        <w:gridCol w:w="1193"/>
        <w:gridCol w:w="1604"/>
      </w:tblGrid>
      <w:tr w:rsidR="00F37F90" w:rsidRPr="00A90189" w14:paraId="1F81DBBF" w14:textId="77777777" w:rsidTr="00E41E5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77777777" w:rsidR="00F37F90" w:rsidRDefault="00F37F90" w:rsidP="00F37F90">
            <w:pPr>
              <w:pStyle w:val="NoSpacing"/>
              <w:rPr>
                <w:rFonts w:ascii="Arial" w:hAnsi="Arial" w:cs="Arial"/>
                <w:color w:val="FFFFFF" w:themeColor="background1"/>
                <w:sz w:val="18"/>
                <w:szCs w:val="18"/>
              </w:rPr>
            </w:pPr>
          </w:p>
        </w:tc>
        <w:tc>
          <w:tcPr>
            <w:tcW w:w="1855"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18880607" w:rsidR="00F37F90" w:rsidRDefault="00C853F3"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5C5842">
              <w:rPr>
                <w:rFonts w:ascii="Arial" w:hAnsi="Arial" w:cs="Arial"/>
                <w:color w:val="FFFFFF" w:themeColor="background1"/>
                <w:sz w:val="18"/>
                <w:szCs w:val="18"/>
              </w:rPr>
              <w:t xml:space="preserve"> </w:t>
            </w:r>
            <w:r w:rsidR="008C350D">
              <w:rPr>
                <w:rFonts w:ascii="Arial" w:hAnsi="Arial" w:cs="Arial"/>
                <w:color w:val="FFFFFF" w:themeColor="background1"/>
                <w:sz w:val="18"/>
                <w:szCs w:val="18"/>
              </w:rPr>
              <w:t>2025</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E41E5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2"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9"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3F7A86" w:rsidRPr="009C0178" w14:paraId="2D585FCB" w14:textId="77777777" w:rsidTr="00CE45F1">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3F7A86" w:rsidRPr="009C0178" w:rsidRDefault="003F7A86" w:rsidP="003F7A86">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2" w:type="pct"/>
            <w:shd w:val="clear" w:color="auto" w:fill="FFFFFF" w:themeFill="background1"/>
            <w:tcMar>
              <w:left w:w="115" w:type="dxa"/>
              <w:right w:w="115" w:type="dxa"/>
            </w:tcMar>
          </w:tcPr>
          <w:p w14:paraId="501AC3BC" w14:textId="13D4E3C6"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9.</w:t>
            </w:r>
            <w:r w:rsidR="000A3117">
              <w:rPr>
                <w:rFonts w:ascii="Arial" w:hAnsi="Arial" w:cs="Arial"/>
                <w:b/>
                <w:bCs/>
                <w:color w:val="000000"/>
                <w:sz w:val="18"/>
                <w:szCs w:val="18"/>
              </w:rPr>
              <w:t>48</w:t>
            </w:r>
          </w:p>
        </w:tc>
        <w:tc>
          <w:tcPr>
            <w:tcW w:w="470" w:type="pct"/>
            <w:shd w:val="clear" w:color="auto" w:fill="FFFFFF" w:themeFill="background1"/>
            <w:tcMar>
              <w:left w:w="115" w:type="dxa"/>
              <w:right w:w="115" w:type="dxa"/>
            </w:tcMar>
            <w:vAlign w:val="bottom"/>
          </w:tcPr>
          <w:p w14:paraId="2DD3D4D2" w14:textId="00CCD32A"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0A3117">
              <w:rPr>
                <w:rFonts w:ascii="Arial" w:hAnsi="Arial" w:cs="Arial"/>
                <w:b/>
                <w:bCs/>
                <w:color w:val="000000"/>
                <w:sz w:val="18"/>
                <w:szCs w:val="18"/>
              </w:rPr>
              <w:t>0.5</w:t>
            </w:r>
            <w:r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39BB8868" w:rsidR="003F7A86" w:rsidRPr="009C0178"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-1.2</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1CF09875"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9.</w:t>
            </w:r>
            <w:r w:rsidR="005C5842">
              <w:rPr>
                <w:rFonts w:ascii="Arial" w:hAnsi="Arial" w:cs="Arial"/>
                <w:b/>
                <w:bCs/>
                <w:color w:val="000000"/>
                <w:sz w:val="18"/>
                <w:szCs w:val="18"/>
              </w:rPr>
              <w:t>6</w:t>
            </w:r>
            <w:r w:rsidR="000A3117">
              <w:rPr>
                <w:rFonts w:ascii="Arial" w:hAnsi="Arial" w:cs="Arial"/>
                <w:b/>
                <w:bCs/>
                <w:color w:val="000000"/>
                <w:sz w:val="18"/>
                <w:szCs w:val="18"/>
              </w:rPr>
              <w:t>2</w:t>
            </w:r>
          </w:p>
        </w:tc>
        <w:tc>
          <w:tcPr>
            <w:tcW w:w="572" w:type="pct"/>
            <w:shd w:val="clear" w:color="auto" w:fill="FFFFFF" w:themeFill="background1"/>
            <w:vAlign w:val="bottom"/>
          </w:tcPr>
          <w:p w14:paraId="39D61EC7" w14:textId="33AD4EBE" w:rsidR="003F7A86" w:rsidRPr="009C0178"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w:t>
            </w:r>
            <w:r w:rsidR="000A3117">
              <w:rPr>
                <w:rFonts w:ascii="Arial" w:hAnsi="Arial" w:cs="Arial"/>
                <w:b/>
                <w:bCs/>
                <w:color w:val="000000"/>
                <w:sz w:val="18"/>
                <w:szCs w:val="18"/>
              </w:rPr>
              <w:t>8</w:t>
            </w:r>
            <w:r w:rsidR="003F7A86" w:rsidRPr="009C0178">
              <w:rPr>
                <w:rFonts w:ascii="Arial" w:hAnsi="Arial" w:cs="Arial"/>
                <w:b/>
                <w:bCs/>
                <w:color w:val="000000"/>
                <w:sz w:val="18"/>
                <w:szCs w:val="18"/>
              </w:rPr>
              <w:t>%</w:t>
            </w:r>
          </w:p>
        </w:tc>
        <w:tc>
          <w:tcPr>
            <w:tcW w:w="769" w:type="pct"/>
            <w:shd w:val="clear" w:color="auto" w:fill="FFFFFF" w:themeFill="background1"/>
            <w:vAlign w:val="bottom"/>
          </w:tcPr>
          <w:p w14:paraId="66678B50" w14:textId="3ED5C79B" w:rsidR="003F7A86" w:rsidRPr="009C0178" w:rsidRDefault="00046AD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5C5842">
              <w:rPr>
                <w:rFonts w:ascii="Arial" w:hAnsi="Arial" w:cs="Arial"/>
                <w:b/>
                <w:bCs/>
                <w:color w:val="000000"/>
                <w:sz w:val="18"/>
                <w:szCs w:val="18"/>
              </w:rPr>
              <w:t>1.3</w:t>
            </w:r>
            <w:r w:rsidR="003F7A86" w:rsidRPr="009C0178">
              <w:rPr>
                <w:rFonts w:ascii="Arial" w:hAnsi="Arial" w:cs="Arial"/>
                <w:b/>
                <w:bCs/>
                <w:color w:val="000000"/>
                <w:sz w:val="18"/>
                <w:szCs w:val="18"/>
              </w:rPr>
              <w:t>%</w:t>
            </w:r>
          </w:p>
        </w:tc>
      </w:tr>
      <w:tr w:rsidR="003F7A86" w:rsidRPr="001C710E" w14:paraId="3DD603CC" w14:textId="77777777" w:rsidTr="009B1F3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2" w:type="pct"/>
            <w:shd w:val="clear" w:color="auto" w:fill="D9D9D9" w:themeFill="background1" w:themeFillShade="D9"/>
            <w:tcMar>
              <w:left w:w="115" w:type="dxa"/>
              <w:right w:w="115" w:type="dxa"/>
            </w:tcMar>
          </w:tcPr>
          <w:p w14:paraId="1E4323D1" w14:textId="75D0A868"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A45281">
              <w:rPr>
                <w:rFonts w:ascii="Arial" w:hAnsi="Arial" w:cs="Arial"/>
                <w:bCs/>
                <w:color w:val="000000"/>
                <w:sz w:val="18"/>
                <w:szCs w:val="18"/>
              </w:rPr>
              <w:t>$</w:t>
            </w:r>
            <w:r w:rsidR="000A3117">
              <w:rPr>
                <w:rFonts w:ascii="Arial" w:hAnsi="Arial" w:cs="Arial"/>
                <w:bCs/>
                <w:color w:val="000000"/>
                <w:sz w:val="18"/>
                <w:szCs w:val="18"/>
              </w:rPr>
              <w:t>10.04</w:t>
            </w:r>
          </w:p>
        </w:tc>
        <w:tc>
          <w:tcPr>
            <w:tcW w:w="470" w:type="pct"/>
            <w:shd w:val="clear" w:color="auto" w:fill="D9D9D9" w:themeFill="background1" w:themeFillShade="D9"/>
            <w:tcMar>
              <w:left w:w="115" w:type="dxa"/>
              <w:right w:w="115" w:type="dxa"/>
            </w:tcMar>
            <w:vAlign w:val="bottom"/>
          </w:tcPr>
          <w:p w14:paraId="10C1BBE1" w14:textId="6D8AC44F"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-1.8</w:t>
            </w:r>
            <w:r w:rsidR="003F7A86" w:rsidRPr="00F553C1">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419E12F9"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-4.0</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537AD2A7"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10.4</w:t>
            </w:r>
            <w:r w:rsidR="000A3117">
              <w:rPr>
                <w:rFonts w:ascii="Arial" w:hAnsi="Arial" w:cs="Arial"/>
                <w:bCs/>
                <w:color w:val="000000"/>
                <w:sz w:val="18"/>
                <w:szCs w:val="18"/>
              </w:rPr>
              <w:t>3</w:t>
            </w:r>
          </w:p>
        </w:tc>
        <w:tc>
          <w:tcPr>
            <w:tcW w:w="572" w:type="pct"/>
            <w:shd w:val="clear" w:color="auto" w:fill="D9D9D9" w:themeFill="background1" w:themeFillShade="D9"/>
          </w:tcPr>
          <w:p w14:paraId="0AF53059" w14:textId="714216BB"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5C5842">
              <w:rPr>
                <w:rFonts w:ascii="Arial" w:hAnsi="Arial" w:cs="Arial"/>
                <w:bCs/>
                <w:color w:val="000000"/>
                <w:sz w:val="18"/>
                <w:szCs w:val="18"/>
              </w:rPr>
              <w:t>0.3</w:t>
            </w:r>
            <w:r w:rsidRPr="00F553C1">
              <w:rPr>
                <w:rFonts w:ascii="Arial" w:hAnsi="Arial" w:cs="Arial"/>
                <w:bCs/>
                <w:color w:val="000000"/>
                <w:sz w:val="18"/>
                <w:szCs w:val="18"/>
              </w:rPr>
              <w:t>%</w:t>
            </w:r>
          </w:p>
        </w:tc>
        <w:tc>
          <w:tcPr>
            <w:tcW w:w="769" w:type="pct"/>
            <w:shd w:val="clear" w:color="auto" w:fill="D9D9D9" w:themeFill="background1" w:themeFillShade="D9"/>
            <w:vAlign w:val="bottom"/>
          </w:tcPr>
          <w:p w14:paraId="7B4C6BF1" w14:textId="0770287F"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0A3117">
              <w:rPr>
                <w:rFonts w:ascii="Arial" w:hAnsi="Arial" w:cs="Arial"/>
                <w:bCs/>
                <w:color w:val="000000"/>
                <w:sz w:val="18"/>
                <w:szCs w:val="18"/>
              </w:rPr>
              <w:t>0.3</w:t>
            </w:r>
            <w:r w:rsidRPr="00F553C1">
              <w:rPr>
                <w:rFonts w:ascii="Arial" w:hAnsi="Arial" w:cs="Arial"/>
                <w:bCs/>
                <w:color w:val="000000"/>
                <w:sz w:val="18"/>
                <w:szCs w:val="18"/>
              </w:rPr>
              <w:t>%</w:t>
            </w:r>
          </w:p>
        </w:tc>
      </w:tr>
      <w:tr w:rsidR="003F7A86" w:rsidRPr="001C710E" w14:paraId="5A269FB9" w14:textId="77777777" w:rsidTr="009B1F36">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2" w:type="pct"/>
            <w:tcMar>
              <w:left w:w="115" w:type="dxa"/>
              <w:right w:w="115" w:type="dxa"/>
            </w:tcMar>
          </w:tcPr>
          <w:p w14:paraId="354F3F01" w14:textId="3007E441"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45281">
              <w:rPr>
                <w:rFonts w:ascii="Arial" w:hAnsi="Arial" w:cs="Arial"/>
                <w:bCs/>
                <w:color w:val="000000"/>
                <w:sz w:val="18"/>
                <w:szCs w:val="18"/>
              </w:rPr>
              <w:t>$</w:t>
            </w:r>
            <w:r w:rsidR="000A3117">
              <w:rPr>
                <w:rFonts w:ascii="Arial" w:hAnsi="Arial" w:cs="Arial"/>
                <w:bCs/>
                <w:color w:val="000000"/>
                <w:sz w:val="18"/>
                <w:szCs w:val="18"/>
              </w:rPr>
              <w:t>8.52</w:t>
            </w:r>
          </w:p>
        </w:tc>
        <w:tc>
          <w:tcPr>
            <w:tcW w:w="470" w:type="pct"/>
            <w:tcMar>
              <w:left w:w="115" w:type="dxa"/>
              <w:right w:w="115" w:type="dxa"/>
            </w:tcMar>
            <w:vAlign w:val="bottom"/>
          </w:tcPr>
          <w:p w14:paraId="3C30D052" w14:textId="4E6E2C2A"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3.4</w:t>
            </w:r>
            <w:r w:rsidRPr="00F553C1">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319FF3F2" w:rsidR="003F7A86" w:rsidRPr="00F553C1"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+1.4</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tcPr>
          <w:p w14:paraId="2A701842" w14:textId="292FA242"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8.4</w:t>
            </w:r>
            <w:r w:rsidR="000A3117">
              <w:rPr>
                <w:rFonts w:ascii="Arial" w:hAnsi="Arial" w:cs="Arial"/>
                <w:bCs/>
                <w:color w:val="000000"/>
                <w:sz w:val="18"/>
                <w:szCs w:val="18"/>
              </w:rPr>
              <w:t>9</w:t>
            </w:r>
          </w:p>
        </w:tc>
        <w:tc>
          <w:tcPr>
            <w:tcW w:w="572" w:type="pct"/>
          </w:tcPr>
          <w:p w14:paraId="295F5885" w14:textId="1864091B" w:rsidR="003F7A86" w:rsidRPr="00F553C1"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1.2</w:t>
            </w:r>
            <w:r w:rsidR="003F7A86" w:rsidRPr="00F553C1">
              <w:rPr>
                <w:rFonts w:ascii="Arial" w:hAnsi="Arial" w:cs="Arial"/>
                <w:bCs/>
                <w:color w:val="000000"/>
                <w:sz w:val="18"/>
                <w:szCs w:val="18"/>
              </w:rPr>
              <w:t>%</w:t>
            </w:r>
          </w:p>
        </w:tc>
        <w:tc>
          <w:tcPr>
            <w:tcW w:w="769" w:type="pct"/>
            <w:vAlign w:val="bottom"/>
          </w:tcPr>
          <w:p w14:paraId="49D3B72A" w14:textId="4888706F"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0A3117">
              <w:rPr>
                <w:rFonts w:ascii="Arial" w:hAnsi="Arial" w:cs="Arial"/>
                <w:bCs/>
                <w:color w:val="000000"/>
                <w:sz w:val="18"/>
                <w:szCs w:val="18"/>
              </w:rPr>
              <w:t>6.5</w:t>
            </w:r>
            <w:r w:rsidRPr="00F553C1">
              <w:rPr>
                <w:rFonts w:ascii="Arial" w:hAnsi="Arial" w:cs="Arial"/>
                <w:bCs/>
                <w:color w:val="000000"/>
                <w:sz w:val="18"/>
                <w:szCs w:val="18"/>
              </w:rPr>
              <w:t>%</w:t>
            </w:r>
          </w:p>
        </w:tc>
      </w:tr>
      <w:tr w:rsidR="003F7A86" w:rsidRPr="009C0178" w14:paraId="6D4B0F28" w14:textId="77777777" w:rsidTr="009B1F3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3F7A86" w:rsidRPr="00D5653C" w:rsidRDefault="003F7A86" w:rsidP="003F7A86">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2" w:type="pct"/>
            <w:shd w:val="clear" w:color="auto" w:fill="D9D9D9" w:themeFill="background1" w:themeFillShade="D9"/>
            <w:tcMar>
              <w:left w:w="115" w:type="dxa"/>
              <w:right w:w="115" w:type="dxa"/>
            </w:tcMar>
          </w:tcPr>
          <w:p w14:paraId="6AA1A40C" w14:textId="1932F445"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D5653C">
              <w:rPr>
                <w:rFonts w:ascii="Arial" w:hAnsi="Arial" w:cs="Arial"/>
                <w:b/>
                <w:bCs/>
                <w:color w:val="000000"/>
                <w:sz w:val="18"/>
                <w:szCs w:val="18"/>
              </w:rPr>
              <w:t>7.00</w:t>
            </w:r>
          </w:p>
        </w:tc>
        <w:tc>
          <w:tcPr>
            <w:tcW w:w="470" w:type="pct"/>
            <w:shd w:val="clear" w:color="auto" w:fill="D9D9D9" w:themeFill="background1" w:themeFillShade="D9"/>
            <w:tcMar>
              <w:left w:w="115" w:type="dxa"/>
              <w:right w:w="115" w:type="dxa"/>
            </w:tcMar>
            <w:vAlign w:val="bottom"/>
          </w:tcPr>
          <w:p w14:paraId="561F5313" w14:textId="2CB4E781" w:rsidR="003F7A86" w:rsidRPr="009C0178"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+1.9</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70AB63C1" w:rsidR="003F7A86" w:rsidRPr="009C0178"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-6.2</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22B3CC47"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7.</w:t>
            </w:r>
            <w:r w:rsidR="00D5653C">
              <w:rPr>
                <w:rFonts w:ascii="Arial" w:hAnsi="Arial" w:cs="Arial"/>
                <w:b/>
                <w:bCs/>
                <w:color w:val="000000"/>
                <w:sz w:val="18"/>
                <w:szCs w:val="18"/>
              </w:rPr>
              <w:t>36</w:t>
            </w:r>
          </w:p>
        </w:tc>
        <w:tc>
          <w:tcPr>
            <w:tcW w:w="572" w:type="pct"/>
            <w:shd w:val="clear" w:color="auto" w:fill="D9D9D9" w:themeFill="background1" w:themeFillShade="D9"/>
          </w:tcPr>
          <w:p w14:paraId="0D4239EB" w14:textId="1EBAFC45"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D5653C">
              <w:rPr>
                <w:rFonts w:ascii="Arial" w:hAnsi="Arial" w:cs="Arial"/>
                <w:b/>
                <w:bCs/>
                <w:color w:val="000000"/>
                <w:sz w:val="18"/>
                <w:szCs w:val="18"/>
              </w:rPr>
              <w:t>0</w:t>
            </w:r>
            <w:r w:rsidR="005C5842">
              <w:rPr>
                <w:rFonts w:ascii="Arial" w:hAnsi="Arial" w:cs="Arial"/>
                <w:b/>
                <w:bCs/>
                <w:color w:val="000000"/>
                <w:sz w:val="18"/>
                <w:szCs w:val="18"/>
              </w:rPr>
              <w:t>.6</w:t>
            </w:r>
            <w:r w:rsidRPr="001D7072">
              <w:rPr>
                <w:rFonts w:ascii="Arial" w:hAnsi="Arial" w:cs="Arial"/>
                <w:b/>
                <w:bCs/>
                <w:color w:val="000000"/>
                <w:sz w:val="18"/>
                <w:szCs w:val="18"/>
              </w:rPr>
              <w:t>%</w:t>
            </w:r>
          </w:p>
        </w:tc>
        <w:tc>
          <w:tcPr>
            <w:tcW w:w="769" w:type="pct"/>
            <w:shd w:val="clear" w:color="auto" w:fill="D9D9D9" w:themeFill="background1" w:themeFillShade="D9"/>
            <w:vAlign w:val="bottom"/>
          </w:tcPr>
          <w:p w14:paraId="40B4A5D7" w14:textId="15F843DA"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5C5842">
              <w:rPr>
                <w:rFonts w:ascii="Arial" w:hAnsi="Arial" w:cs="Arial"/>
                <w:b/>
                <w:bCs/>
                <w:color w:val="000000"/>
                <w:sz w:val="18"/>
                <w:szCs w:val="18"/>
              </w:rPr>
              <w:t>6.0</w:t>
            </w:r>
            <w:r w:rsidRPr="009C0178">
              <w:rPr>
                <w:rFonts w:ascii="Arial" w:hAnsi="Arial" w:cs="Arial"/>
                <w:b/>
                <w:bCs/>
                <w:color w:val="000000"/>
                <w:sz w:val="18"/>
                <w:szCs w:val="18"/>
              </w:rPr>
              <w:t>%</w:t>
            </w:r>
          </w:p>
        </w:tc>
      </w:tr>
      <w:tr w:rsidR="003F7A86" w:rsidRPr="009C0178" w14:paraId="0A8B314F" w14:textId="77777777" w:rsidTr="009B1F36">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3F7A86" w:rsidRPr="000A3117" w:rsidRDefault="003F7A86" w:rsidP="003F7A86">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2" w:type="pct"/>
            <w:shd w:val="clear" w:color="auto" w:fill="FFFFFF" w:themeFill="background1"/>
            <w:tcMar>
              <w:left w:w="115" w:type="dxa"/>
              <w:right w:w="115" w:type="dxa"/>
            </w:tcMar>
          </w:tcPr>
          <w:p w14:paraId="4F268D8A" w14:textId="04267250"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6D6580">
              <w:rPr>
                <w:rFonts w:ascii="Arial" w:hAnsi="Arial" w:cs="Arial"/>
                <w:b/>
                <w:bCs/>
                <w:color w:val="000000"/>
                <w:sz w:val="18"/>
                <w:szCs w:val="18"/>
              </w:rPr>
              <w:t>4.89</w:t>
            </w:r>
          </w:p>
        </w:tc>
        <w:tc>
          <w:tcPr>
            <w:tcW w:w="470" w:type="pct"/>
            <w:shd w:val="clear" w:color="auto" w:fill="FFFFFF" w:themeFill="background1"/>
            <w:tcMar>
              <w:left w:w="115" w:type="dxa"/>
              <w:right w:w="115" w:type="dxa"/>
            </w:tcMar>
            <w:vAlign w:val="bottom"/>
          </w:tcPr>
          <w:p w14:paraId="1510CC5D" w14:textId="1C2ECA21"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6D6580">
              <w:rPr>
                <w:rFonts w:ascii="Arial" w:hAnsi="Arial" w:cs="Arial"/>
                <w:b/>
                <w:bCs/>
                <w:color w:val="000000"/>
                <w:sz w:val="18"/>
                <w:szCs w:val="18"/>
              </w:rPr>
              <w:t>3.4</w:t>
            </w:r>
            <w:r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5372C70F"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-5.3</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6C584E41"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5.0</w:t>
            </w:r>
            <w:r w:rsidR="006D6580">
              <w:rPr>
                <w:rFonts w:ascii="Arial" w:hAnsi="Arial" w:cs="Arial"/>
                <w:b/>
                <w:bCs/>
                <w:color w:val="000000"/>
                <w:sz w:val="18"/>
                <w:szCs w:val="18"/>
              </w:rPr>
              <w:t>6</w:t>
            </w:r>
          </w:p>
        </w:tc>
        <w:tc>
          <w:tcPr>
            <w:tcW w:w="572" w:type="pct"/>
            <w:shd w:val="clear" w:color="auto" w:fill="FFFFFF" w:themeFill="background1"/>
          </w:tcPr>
          <w:p w14:paraId="04CE274A" w14:textId="44B629B6"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5C5842">
              <w:rPr>
                <w:rFonts w:ascii="Arial" w:hAnsi="Arial" w:cs="Arial"/>
                <w:b/>
                <w:bCs/>
                <w:color w:val="000000"/>
                <w:sz w:val="18"/>
                <w:szCs w:val="18"/>
              </w:rPr>
              <w:t>3.</w:t>
            </w:r>
            <w:r w:rsidR="006D6580">
              <w:rPr>
                <w:rFonts w:ascii="Arial" w:hAnsi="Arial" w:cs="Arial"/>
                <w:b/>
                <w:bCs/>
                <w:color w:val="000000"/>
                <w:sz w:val="18"/>
                <w:szCs w:val="18"/>
              </w:rPr>
              <w:t>7</w:t>
            </w:r>
            <w:r w:rsidRPr="001D7072">
              <w:rPr>
                <w:rFonts w:ascii="Arial" w:hAnsi="Arial" w:cs="Arial"/>
                <w:b/>
                <w:bCs/>
                <w:color w:val="000000"/>
                <w:sz w:val="18"/>
                <w:szCs w:val="18"/>
              </w:rPr>
              <w:t>%</w:t>
            </w:r>
          </w:p>
        </w:tc>
        <w:tc>
          <w:tcPr>
            <w:tcW w:w="769" w:type="pct"/>
            <w:shd w:val="clear" w:color="auto" w:fill="FFFFFF" w:themeFill="background1"/>
            <w:vAlign w:val="bottom"/>
          </w:tcPr>
          <w:p w14:paraId="73C5E911" w14:textId="033A2D4D"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-1.3</w:t>
            </w:r>
            <w:r w:rsidR="003F7A86" w:rsidRPr="009C0178">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297542C8" w14:textId="53F836A0" w:rsidR="00544D35" w:rsidRPr="002327AA" w:rsidRDefault="00544D35" w:rsidP="00544D35">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39A188BF" w14:textId="69A363F0" w:rsidR="00A94364" w:rsidRPr="00FA6FAE" w:rsidRDefault="00A94364" w:rsidP="00544D35">
      <w:pPr>
        <w:pStyle w:val="NoSpacing"/>
        <w:rPr>
          <w:rFonts w:ascii="Arial" w:hAnsi="Arial" w:cs="Arial"/>
          <w:sz w:val="4"/>
          <w:szCs w:val="4"/>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784"/>
        <w:gridCol w:w="1539"/>
        <w:gridCol w:w="1065"/>
        <w:gridCol w:w="1151"/>
      </w:tblGrid>
      <w:tr w:rsidR="00A94364" w:rsidRPr="00DA3DDE" w14:paraId="30C6FA3D" w14:textId="77777777" w:rsidTr="000941C5">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0BF1403B" w14:textId="77777777" w:rsidR="00EE3028" w:rsidRDefault="00EE3028" w:rsidP="000941C5">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lastRenderedPageBreak/>
              <w:t xml:space="preserve">Price per pound </w:t>
            </w:r>
          </w:p>
          <w:p w14:paraId="2F30AB05" w14:textId="716E10C7" w:rsidR="00A94364" w:rsidRPr="00DA3DDE" w:rsidRDefault="000A3117" w:rsidP="000941C5">
            <w:pPr>
              <w:pStyle w:val="NoSpacing"/>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EE3028">
              <w:rPr>
                <w:rFonts w:ascii="Arial" w:hAnsi="Arial" w:cs="Arial"/>
                <w:color w:val="FFFFFF" w:themeColor="background1"/>
                <w:sz w:val="18"/>
                <w:szCs w:val="18"/>
              </w:rPr>
              <w:t>2025</w:t>
            </w:r>
          </w:p>
        </w:tc>
        <w:tc>
          <w:tcPr>
            <w:tcW w:w="1177" w:type="pct"/>
            <w:shd w:val="clear" w:color="auto" w:fill="17365D" w:themeFill="text2" w:themeFillShade="BF"/>
            <w:tcMar>
              <w:left w:w="115" w:type="dxa"/>
              <w:right w:w="115" w:type="dxa"/>
            </w:tcMar>
          </w:tcPr>
          <w:p w14:paraId="791DAE2A" w14:textId="77777777" w:rsidR="00A94364" w:rsidRPr="00DA3DDE" w:rsidRDefault="00A94364" w:rsidP="000941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02AF68D0" w14:textId="77777777" w:rsidR="00A94364" w:rsidRPr="00DA3DDE" w:rsidRDefault="00A94364" w:rsidP="000941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1E54A83D" w14:textId="77777777" w:rsidR="00A94364" w:rsidRPr="00DA3DDE" w:rsidRDefault="00A94364" w:rsidP="000941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046AD4" w:rsidRPr="001A7423" w14:paraId="4E3580CA" w14:textId="77777777" w:rsidTr="000941C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C7ACAFA" w14:textId="77777777" w:rsidR="00046AD4" w:rsidRPr="001C710E" w:rsidRDefault="00046AD4" w:rsidP="00046AD4">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6DC9CA56" w14:textId="0D445673" w:rsidR="00046AD4" w:rsidRPr="001A7423" w:rsidRDefault="00046AD4" w:rsidP="00046AD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A01B39">
              <w:rPr>
                <w:rFonts w:ascii="Arial" w:hAnsi="Arial" w:cs="Arial"/>
                <w:bCs/>
                <w:color w:val="000000"/>
                <w:sz w:val="18"/>
                <w:szCs w:val="18"/>
              </w:rPr>
              <w:t>11.</w:t>
            </w:r>
            <w:r w:rsidR="000A3117">
              <w:rPr>
                <w:rFonts w:ascii="Arial" w:hAnsi="Arial" w:cs="Arial"/>
                <w:bCs/>
                <w:color w:val="000000"/>
                <w:sz w:val="18"/>
                <w:szCs w:val="18"/>
              </w:rPr>
              <w:t>14</w:t>
            </w:r>
          </w:p>
        </w:tc>
        <w:tc>
          <w:tcPr>
            <w:tcW w:w="814" w:type="pct"/>
            <w:shd w:val="clear" w:color="auto" w:fill="FFFFFF" w:themeFill="background1"/>
            <w:tcMar>
              <w:left w:w="115" w:type="dxa"/>
              <w:right w:w="115" w:type="dxa"/>
            </w:tcMar>
            <w:vAlign w:val="bottom"/>
          </w:tcPr>
          <w:p w14:paraId="71642632" w14:textId="1C8DD085" w:rsidR="00046AD4" w:rsidRPr="001A7423" w:rsidRDefault="000A3117" w:rsidP="00046AD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-1.3</w:t>
            </w:r>
            <w:r w:rsidR="00046AD4" w:rsidRPr="001A7423">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A1A4E2B" w14:textId="1EE56E39" w:rsidR="00046AD4" w:rsidRPr="001A7423" w:rsidRDefault="000A3117" w:rsidP="00046AD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-3.9</w:t>
            </w:r>
            <w:r w:rsidR="00046AD4" w:rsidRPr="001A7423">
              <w:rPr>
                <w:rFonts w:ascii="Arial" w:hAnsi="Arial" w:cs="Arial"/>
                <w:bCs/>
                <w:color w:val="000000"/>
                <w:sz w:val="18"/>
                <w:szCs w:val="18"/>
              </w:rPr>
              <w:t>%</w:t>
            </w:r>
          </w:p>
        </w:tc>
      </w:tr>
      <w:tr w:rsidR="00046AD4" w:rsidRPr="001A7423" w14:paraId="7BE58DED" w14:textId="77777777" w:rsidTr="000941C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759AB5EC" w14:textId="77777777" w:rsidR="00046AD4" w:rsidRPr="001C710E" w:rsidRDefault="00046AD4" w:rsidP="00046AD4">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4B421831" w14:textId="7C6A3C0F" w:rsidR="00046AD4" w:rsidRPr="001A7423" w:rsidRDefault="00046AD4" w:rsidP="00046AD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0A3117">
              <w:rPr>
                <w:rFonts w:ascii="Arial" w:hAnsi="Arial" w:cs="Arial"/>
                <w:bCs/>
                <w:color w:val="000000"/>
                <w:sz w:val="18"/>
                <w:szCs w:val="18"/>
              </w:rPr>
              <w:t>9.10</w:t>
            </w:r>
          </w:p>
        </w:tc>
        <w:tc>
          <w:tcPr>
            <w:tcW w:w="814" w:type="pct"/>
            <w:shd w:val="clear" w:color="auto" w:fill="D9D9D9" w:themeFill="background1" w:themeFillShade="D9"/>
            <w:tcMar>
              <w:left w:w="115" w:type="dxa"/>
              <w:right w:w="115" w:type="dxa"/>
            </w:tcMar>
            <w:vAlign w:val="bottom"/>
          </w:tcPr>
          <w:p w14:paraId="41A6FA93" w14:textId="4895BF53" w:rsidR="00046AD4" w:rsidRPr="001A7423" w:rsidRDefault="00046AD4" w:rsidP="00046AD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7.3</w:t>
            </w:r>
            <w:r w:rsidRPr="001A742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3DE7AD06" w14:textId="0D9F27DA" w:rsidR="00046AD4" w:rsidRPr="001A7423" w:rsidRDefault="000A3117" w:rsidP="00046AD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-1.4</w:t>
            </w:r>
            <w:r w:rsidR="00046AD4" w:rsidRPr="001A7423">
              <w:rPr>
                <w:rFonts w:ascii="Arial" w:hAnsi="Arial" w:cs="Arial"/>
                <w:bCs/>
                <w:color w:val="000000"/>
                <w:sz w:val="18"/>
                <w:szCs w:val="18"/>
              </w:rPr>
              <w:t>%</w:t>
            </w:r>
          </w:p>
        </w:tc>
      </w:tr>
      <w:tr w:rsidR="00046AD4" w:rsidRPr="001A7423" w14:paraId="1F2A3CE3" w14:textId="77777777" w:rsidTr="00EE3028">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3082B9A1" w14:textId="77777777" w:rsidR="00046AD4" w:rsidRPr="001C710E" w:rsidRDefault="00046AD4" w:rsidP="00046AD4">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22182B22" w14:textId="538050E5" w:rsidR="00046AD4" w:rsidRPr="001A7423" w:rsidRDefault="00046AD4" w:rsidP="00046AD4">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6322BE">
              <w:rPr>
                <w:rFonts w:ascii="Arial" w:hAnsi="Arial" w:cs="Arial"/>
                <w:bCs/>
                <w:color w:val="000000"/>
                <w:sz w:val="18"/>
                <w:szCs w:val="18"/>
              </w:rPr>
              <w:t>8.4</w:t>
            </w:r>
            <w:r w:rsidR="000A3117">
              <w:rPr>
                <w:rFonts w:ascii="Arial" w:hAnsi="Arial" w:cs="Arial"/>
                <w:bCs/>
                <w:color w:val="000000"/>
                <w:sz w:val="18"/>
                <w:szCs w:val="18"/>
              </w:rPr>
              <w:t>3</w:t>
            </w:r>
          </w:p>
        </w:tc>
        <w:tc>
          <w:tcPr>
            <w:tcW w:w="814" w:type="pct"/>
            <w:shd w:val="clear" w:color="auto" w:fill="auto"/>
            <w:tcMar>
              <w:left w:w="115" w:type="dxa"/>
              <w:right w:w="115" w:type="dxa"/>
            </w:tcMar>
            <w:vAlign w:val="bottom"/>
          </w:tcPr>
          <w:p w14:paraId="143B826F" w14:textId="6AE336BF" w:rsidR="00046AD4" w:rsidRPr="001A7423" w:rsidRDefault="000A3117" w:rsidP="00046AD4">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+0.4</w:t>
            </w:r>
            <w:r w:rsidR="00046AD4" w:rsidRPr="001A7423">
              <w:rPr>
                <w:rFonts w:ascii="Arial" w:hAnsi="Arial" w:cs="Arial"/>
                <w:bCs/>
                <w:color w:val="000000"/>
                <w:sz w:val="18"/>
                <w:szCs w:val="18"/>
              </w:rPr>
              <w:t>%</w:t>
            </w:r>
          </w:p>
        </w:tc>
        <w:tc>
          <w:tcPr>
            <w:tcW w:w="880" w:type="pct"/>
            <w:shd w:val="clear" w:color="auto" w:fill="auto"/>
            <w:tcMar>
              <w:left w:w="115" w:type="dxa"/>
              <w:right w:w="115" w:type="dxa"/>
            </w:tcMar>
            <w:vAlign w:val="bottom"/>
          </w:tcPr>
          <w:p w14:paraId="4A078FF3" w14:textId="11624FFC" w:rsidR="00046AD4" w:rsidRPr="001A7423" w:rsidRDefault="00046AD4" w:rsidP="00046AD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5.7</w:t>
            </w:r>
            <w:r w:rsidRPr="001A7423">
              <w:rPr>
                <w:rFonts w:ascii="Arial" w:hAnsi="Arial" w:cs="Arial"/>
                <w:bCs/>
                <w:color w:val="000000"/>
                <w:sz w:val="18"/>
                <w:szCs w:val="18"/>
              </w:rPr>
              <w:t>%</w:t>
            </w:r>
          </w:p>
        </w:tc>
      </w:tr>
      <w:tr w:rsidR="00046AD4" w:rsidRPr="001A7423" w14:paraId="13112394" w14:textId="77777777" w:rsidTr="000941C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326EA19D" w14:textId="77777777" w:rsidR="00046AD4" w:rsidRPr="001C710E" w:rsidRDefault="00046AD4" w:rsidP="00046AD4">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593AD302" w14:textId="70E02F31" w:rsidR="00046AD4" w:rsidRPr="001A7423" w:rsidRDefault="00046AD4" w:rsidP="00046AD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A01B39">
              <w:rPr>
                <w:rFonts w:ascii="Arial" w:hAnsi="Arial" w:cs="Arial"/>
                <w:bCs/>
                <w:color w:val="000000"/>
                <w:sz w:val="18"/>
                <w:szCs w:val="18"/>
              </w:rPr>
              <w:t>9.</w:t>
            </w:r>
            <w:r w:rsidR="000A3117">
              <w:rPr>
                <w:rFonts w:ascii="Arial" w:hAnsi="Arial" w:cs="Arial"/>
                <w:bCs/>
                <w:color w:val="000000"/>
                <w:sz w:val="18"/>
                <w:szCs w:val="18"/>
              </w:rPr>
              <w:t>55</w:t>
            </w:r>
          </w:p>
        </w:tc>
        <w:tc>
          <w:tcPr>
            <w:tcW w:w="814" w:type="pct"/>
            <w:shd w:val="clear" w:color="auto" w:fill="D9D9D9" w:themeFill="background1" w:themeFillShade="D9"/>
            <w:tcMar>
              <w:left w:w="115" w:type="dxa"/>
              <w:right w:w="115" w:type="dxa"/>
            </w:tcMar>
            <w:vAlign w:val="bottom"/>
          </w:tcPr>
          <w:p w14:paraId="40BDDECD" w14:textId="25D209CF" w:rsidR="00046AD4" w:rsidRPr="001A7423" w:rsidRDefault="00A01B39" w:rsidP="00046AD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2</w:t>
            </w:r>
            <w:r w:rsidR="006322BE">
              <w:rPr>
                <w:rFonts w:ascii="Arial" w:hAnsi="Arial" w:cs="Arial"/>
                <w:bCs/>
                <w:color w:val="000000"/>
                <w:sz w:val="18"/>
                <w:szCs w:val="18"/>
              </w:rPr>
              <w:t>.6</w:t>
            </w:r>
            <w:r w:rsidR="00046AD4" w:rsidRPr="001A742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4F19279A" w14:textId="0A0019A9" w:rsidR="00046AD4" w:rsidRPr="001A7423" w:rsidRDefault="00046AD4" w:rsidP="00046AD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8.4</w:t>
            </w:r>
            <w:r w:rsidRPr="001A7423">
              <w:rPr>
                <w:rFonts w:ascii="Arial" w:hAnsi="Arial" w:cs="Arial"/>
                <w:bCs/>
                <w:color w:val="000000"/>
                <w:sz w:val="18"/>
                <w:szCs w:val="18"/>
              </w:rPr>
              <w:t>%</w:t>
            </w:r>
          </w:p>
        </w:tc>
      </w:tr>
      <w:tr w:rsidR="00046AD4" w:rsidRPr="001A7423" w14:paraId="2D87259E" w14:textId="77777777" w:rsidTr="000A3117">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138E9612" w14:textId="77777777" w:rsidR="00046AD4" w:rsidRPr="001C710E" w:rsidRDefault="00046AD4" w:rsidP="00046AD4">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601FF7F2" w14:textId="111C87D4" w:rsidR="00046AD4" w:rsidRPr="001A7423" w:rsidRDefault="00046AD4" w:rsidP="00046AD4">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0A3117">
              <w:rPr>
                <w:rFonts w:ascii="Arial" w:hAnsi="Arial" w:cs="Arial"/>
                <w:bCs/>
                <w:color w:val="000000"/>
                <w:sz w:val="18"/>
                <w:szCs w:val="18"/>
              </w:rPr>
              <w:t>5.84</w:t>
            </w:r>
          </w:p>
        </w:tc>
        <w:tc>
          <w:tcPr>
            <w:tcW w:w="814" w:type="pct"/>
            <w:shd w:val="clear" w:color="auto" w:fill="FFFFFF" w:themeFill="background1"/>
            <w:tcMar>
              <w:left w:w="115" w:type="dxa"/>
              <w:right w:w="115" w:type="dxa"/>
            </w:tcMar>
            <w:vAlign w:val="bottom"/>
          </w:tcPr>
          <w:p w14:paraId="4577DCB9" w14:textId="4E02951B" w:rsidR="00046AD4" w:rsidRPr="001A7423" w:rsidRDefault="00046AD4" w:rsidP="00046AD4">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5</w:t>
            </w:r>
            <w:r w:rsidR="006322BE">
              <w:rPr>
                <w:rFonts w:ascii="Arial" w:hAnsi="Arial" w:cs="Arial"/>
                <w:bCs/>
                <w:color w:val="000000"/>
                <w:sz w:val="18"/>
                <w:szCs w:val="18"/>
              </w:rPr>
              <w:t>.4</w:t>
            </w:r>
            <w:r w:rsidRPr="001A7423">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25B8EEF" w14:textId="5FB84D0D" w:rsidR="00046AD4" w:rsidRPr="001A7423" w:rsidRDefault="006322BE" w:rsidP="00046AD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3.6</w:t>
            </w:r>
            <w:r w:rsidR="00046AD4" w:rsidRPr="001A7423">
              <w:rPr>
                <w:rFonts w:ascii="Arial" w:hAnsi="Arial" w:cs="Arial"/>
                <w:bCs/>
                <w:color w:val="000000"/>
                <w:sz w:val="18"/>
                <w:szCs w:val="18"/>
              </w:rPr>
              <w:t>%</w:t>
            </w:r>
          </w:p>
        </w:tc>
      </w:tr>
    </w:tbl>
    <w:p w14:paraId="61932714" w14:textId="1F93937F" w:rsidR="00F7176E" w:rsidRDefault="00456776" w:rsidP="00544D35">
      <w:pPr>
        <w:pStyle w:val="NoSpacing"/>
        <w:rPr>
          <w:rFonts w:ascii="Arial" w:hAnsi="Arial" w:cs="Arial"/>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4A1434">
        <w:rPr>
          <w:rFonts w:ascii="Arial" w:hAnsi="Arial" w:cs="Arial"/>
          <w:sz w:val="20"/>
          <w:szCs w:val="20"/>
        </w:rPr>
        <w:t>7.3</w:t>
      </w:r>
      <w:r w:rsidR="006322BE">
        <w:rPr>
          <w:rFonts w:ascii="Arial" w:hAnsi="Arial" w:cs="Arial"/>
          <w:sz w:val="20"/>
          <w:szCs w:val="20"/>
        </w:rPr>
        <w:t>%</w:t>
      </w:r>
      <w:r>
        <w:rPr>
          <w:rFonts w:ascii="Arial" w:hAnsi="Arial" w:cs="Arial"/>
          <w:sz w:val="20"/>
          <w:szCs w:val="20"/>
        </w:rPr>
        <w:t>, whereas s</w:t>
      </w:r>
      <w:r w:rsidR="004A1434">
        <w:rPr>
          <w:rFonts w:ascii="Arial" w:hAnsi="Arial" w:cs="Arial"/>
          <w:sz w:val="20"/>
          <w:szCs w:val="20"/>
        </w:rPr>
        <w:t>almon</w:t>
      </w:r>
      <w:r>
        <w:rPr>
          <w:rFonts w:ascii="Arial" w:hAnsi="Arial" w:cs="Arial"/>
          <w:sz w:val="20"/>
          <w:szCs w:val="20"/>
        </w:rPr>
        <w:t xml:space="preserve"> and tilapia prices were down. </w:t>
      </w:r>
      <w:r w:rsidR="004A1434">
        <w:rPr>
          <w:rFonts w:ascii="Arial" w:hAnsi="Arial" w:cs="Arial"/>
          <w:sz w:val="20"/>
          <w:szCs w:val="20"/>
        </w:rPr>
        <w:t xml:space="preserve">Shrimp prices were stable compared to last year but still sit below the average price per pound seen in 2023. </w:t>
      </w:r>
    </w:p>
    <w:p w14:paraId="67F36C92" w14:textId="77777777" w:rsidR="00456776" w:rsidRDefault="00456776" w:rsidP="00544D35">
      <w:pPr>
        <w:pStyle w:val="NoSpacing"/>
        <w:rPr>
          <w:rFonts w:ascii="Arial" w:hAnsi="Arial" w:cs="Arial"/>
          <w:sz w:val="20"/>
          <w:szCs w:val="20"/>
        </w:rPr>
      </w:pPr>
    </w:p>
    <w:p w14:paraId="49D58F86" w14:textId="3F973E4C" w:rsidR="00E80F34" w:rsidRPr="00132CD2" w:rsidRDefault="00E80F34" w:rsidP="00C94CA8">
      <w:pPr>
        <w:pStyle w:val="NoSpacing"/>
        <w:rPr>
          <w:rFonts w:ascii="Arial" w:hAnsi="Arial" w:cs="Arial"/>
          <w:color w:val="000000" w:themeColor="text1"/>
          <w:sz w:val="20"/>
          <w:szCs w:val="20"/>
        </w:rPr>
      </w:pPr>
      <w:bookmarkStart w:id="6" w:name="_Hlk116283646"/>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00"/>
        <w:gridCol w:w="1541"/>
        <w:gridCol w:w="1066"/>
        <w:gridCol w:w="1149"/>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621EAC87"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t>March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E00876" w:rsidRPr="001A7423" w14:paraId="4B297559" w14:textId="77777777" w:rsidTr="00D5653C">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E00876" w:rsidRPr="001C710E" w:rsidRDefault="00E00876" w:rsidP="00E0087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0CDE480E" w:rsidR="00E00876" w:rsidRPr="001A7423" w:rsidRDefault="00E00876"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DB6197">
              <w:rPr>
                <w:rFonts w:ascii="Arial" w:hAnsi="Arial" w:cs="Arial"/>
                <w:bCs/>
                <w:color w:val="000000"/>
                <w:sz w:val="18"/>
                <w:szCs w:val="18"/>
              </w:rPr>
              <w:t>$</w:t>
            </w:r>
            <w:r w:rsidR="00A01B39">
              <w:rPr>
                <w:rFonts w:ascii="Arial" w:hAnsi="Arial" w:cs="Arial"/>
                <w:bCs/>
                <w:color w:val="000000"/>
                <w:sz w:val="18"/>
                <w:szCs w:val="18"/>
              </w:rPr>
              <w:t>7.</w:t>
            </w:r>
            <w:r w:rsidR="00D5653C">
              <w:rPr>
                <w:rFonts w:ascii="Arial" w:hAnsi="Arial" w:cs="Arial"/>
                <w:bCs/>
                <w:color w:val="000000"/>
                <w:sz w:val="18"/>
                <w:szCs w:val="18"/>
              </w:rPr>
              <w:t>63</w:t>
            </w:r>
          </w:p>
        </w:tc>
        <w:tc>
          <w:tcPr>
            <w:tcW w:w="813" w:type="pct"/>
            <w:shd w:val="clear" w:color="auto" w:fill="FFFFFF" w:themeFill="background1"/>
            <w:tcMar>
              <w:left w:w="115" w:type="dxa"/>
              <w:right w:w="115" w:type="dxa"/>
            </w:tcMar>
          </w:tcPr>
          <w:p w14:paraId="4E827A6D" w14:textId="1A09E193" w:rsidR="00E00876" w:rsidRPr="001A7423" w:rsidRDefault="00A01B39"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D5653C">
              <w:rPr>
                <w:rFonts w:ascii="Arial" w:hAnsi="Arial" w:cs="Arial"/>
                <w:bCs/>
                <w:color w:val="000000"/>
                <w:sz w:val="18"/>
                <w:szCs w:val="18"/>
              </w:rPr>
              <w:t>1.6</w:t>
            </w:r>
            <w:r w:rsidR="00E00876" w:rsidRPr="007248D2">
              <w:rPr>
                <w:rFonts w:ascii="Arial" w:hAnsi="Arial" w:cs="Arial"/>
                <w:bCs/>
                <w:color w:val="000000"/>
                <w:sz w:val="18"/>
                <w:szCs w:val="18"/>
              </w:rPr>
              <w:t>%</w:t>
            </w:r>
          </w:p>
        </w:tc>
        <w:tc>
          <w:tcPr>
            <w:tcW w:w="876" w:type="pct"/>
            <w:shd w:val="clear" w:color="auto" w:fill="FFFFFF" w:themeFill="background1"/>
            <w:tcMar>
              <w:left w:w="115" w:type="dxa"/>
              <w:right w:w="115" w:type="dxa"/>
            </w:tcMar>
          </w:tcPr>
          <w:p w14:paraId="7E9F9524" w14:textId="3A529F5B" w:rsidR="00E00876" w:rsidRPr="001A7423" w:rsidRDefault="00E00876"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248D2">
              <w:rPr>
                <w:rFonts w:ascii="Arial" w:hAnsi="Arial" w:cs="Arial"/>
                <w:bCs/>
                <w:color w:val="000000"/>
                <w:sz w:val="18"/>
                <w:szCs w:val="18"/>
              </w:rPr>
              <w:t>-</w:t>
            </w:r>
            <w:r w:rsidR="00D5653C">
              <w:rPr>
                <w:rFonts w:ascii="Arial" w:hAnsi="Arial" w:cs="Arial"/>
                <w:bCs/>
                <w:color w:val="000000"/>
                <w:sz w:val="18"/>
                <w:szCs w:val="18"/>
              </w:rPr>
              <w:t>5.7</w:t>
            </w:r>
            <w:r w:rsidRPr="007248D2">
              <w:rPr>
                <w:rFonts w:ascii="Arial" w:hAnsi="Arial" w:cs="Arial"/>
                <w:bCs/>
                <w:color w:val="000000"/>
                <w:sz w:val="18"/>
                <w:szCs w:val="18"/>
              </w:rPr>
              <w:t>%</w:t>
            </w:r>
          </w:p>
        </w:tc>
      </w:tr>
      <w:tr w:rsidR="00E00876" w:rsidRPr="001A7423" w14:paraId="1AB3EC2D" w14:textId="77777777" w:rsidTr="00D5653C">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E00876" w:rsidRPr="001C710E" w:rsidRDefault="00E00876" w:rsidP="00E0087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42791C1C" w:rsidR="00E00876" w:rsidRPr="001A7423" w:rsidRDefault="00E00876"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DB6197">
              <w:rPr>
                <w:rFonts w:ascii="Arial" w:hAnsi="Arial" w:cs="Arial"/>
                <w:bCs/>
                <w:color w:val="000000"/>
                <w:sz w:val="18"/>
                <w:szCs w:val="18"/>
              </w:rPr>
              <w:t>$</w:t>
            </w:r>
            <w:r w:rsidR="00D5653C">
              <w:rPr>
                <w:rFonts w:ascii="Arial" w:hAnsi="Arial" w:cs="Arial"/>
                <w:bCs/>
                <w:color w:val="000000"/>
                <w:sz w:val="18"/>
                <w:szCs w:val="18"/>
              </w:rPr>
              <w:t>8.79</w:t>
            </w:r>
          </w:p>
        </w:tc>
        <w:tc>
          <w:tcPr>
            <w:tcW w:w="813" w:type="pct"/>
            <w:shd w:val="clear" w:color="auto" w:fill="D9D9D9" w:themeFill="background1" w:themeFillShade="D9"/>
            <w:tcMar>
              <w:left w:w="115" w:type="dxa"/>
              <w:right w:w="115" w:type="dxa"/>
            </w:tcMar>
          </w:tcPr>
          <w:p w14:paraId="5124B712" w14:textId="168156A8" w:rsidR="00E00876" w:rsidRPr="001A7423" w:rsidRDefault="00E00876"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248D2">
              <w:rPr>
                <w:rFonts w:ascii="Arial" w:hAnsi="Arial" w:cs="Arial"/>
                <w:bCs/>
                <w:color w:val="000000"/>
                <w:sz w:val="18"/>
                <w:szCs w:val="18"/>
              </w:rPr>
              <w:t>-</w:t>
            </w:r>
            <w:r w:rsidR="00D5653C">
              <w:rPr>
                <w:rFonts w:ascii="Arial" w:hAnsi="Arial" w:cs="Arial"/>
                <w:bCs/>
                <w:color w:val="000000"/>
                <w:sz w:val="18"/>
                <w:szCs w:val="18"/>
              </w:rPr>
              <w:t>0.3</w:t>
            </w:r>
            <w:r w:rsidRPr="007248D2">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tcPr>
          <w:p w14:paraId="0890164B" w14:textId="12321639" w:rsidR="00E00876" w:rsidRPr="001A7423" w:rsidRDefault="00046AD4"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D5653C">
              <w:rPr>
                <w:rFonts w:ascii="Arial" w:hAnsi="Arial" w:cs="Arial"/>
                <w:bCs/>
                <w:color w:val="000000"/>
                <w:sz w:val="18"/>
                <w:szCs w:val="18"/>
              </w:rPr>
              <w:t>7.6</w:t>
            </w:r>
            <w:r w:rsidR="00E00876" w:rsidRPr="007248D2">
              <w:rPr>
                <w:rFonts w:ascii="Arial" w:hAnsi="Arial" w:cs="Arial"/>
                <w:bCs/>
                <w:color w:val="000000"/>
                <w:sz w:val="18"/>
                <w:szCs w:val="18"/>
              </w:rPr>
              <w:t>%</w:t>
            </w:r>
          </w:p>
        </w:tc>
      </w:tr>
    </w:tbl>
    <w:p w14:paraId="74C156B7" w14:textId="3EA16759" w:rsidR="00132CD2" w:rsidRPr="00132CD2" w:rsidRDefault="00132CD2" w:rsidP="00C94CA8">
      <w:pPr>
        <w:pStyle w:val="NoSpacing"/>
        <w:rPr>
          <w:rFonts w:ascii="Arial" w:hAnsi="Arial" w:cs="Arial"/>
          <w:color w:val="000000" w:themeColor="text1"/>
          <w:sz w:val="20"/>
          <w:szCs w:val="20"/>
        </w:rPr>
      </w:pPr>
      <w:r w:rsidRPr="00132CD2">
        <w:rPr>
          <w:rFonts w:ascii="Arial" w:hAnsi="Arial" w:cs="Arial"/>
          <w:color w:val="000000" w:themeColor="text1"/>
          <w:sz w:val="20"/>
          <w:szCs w:val="20"/>
        </w:rPr>
        <w:t xml:space="preserve">In </w:t>
      </w:r>
      <w:r w:rsidR="00E607E5">
        <w:rPr>
          <w:rFonts w:ascii="Arial" w:hAnsi="Arial" w:cs="Arial"/>
          <w:color w:val="000000" w:themeColor="text1"/>
          <w:sz w:val="20"/>
          <w:szCs w:val="20"/>
        </w:rPr>
        <w:t xml:space="preserve">the </w:t>
      </w:r>
      <w:r w:rsidRPr="00132CD2">
        <w:rPr>
          <w:rFonts w:ascii="Arial" w:hAnsi="Arial" w:cs="Arial"/>
          <w:color w:val="000000" w:themeColor="text1"/>
          <w:sz w:val="20"/>
          <w:szCs w:val="20"/>
        </w:rPr>
        <w:t>frozen</w:t>
      </w:r>
      <w:r w:rsidR="00E607E5">
        <w:rPr>
          <w:rFonts w:ascii="Arial" w:hAnsi="Arial" w:cs="Arial"/>
          <w:color w:val="000000" w:themeColor="text1"/>
          <w:sz w:val="20"/>
          <w:szCs w:val="20"/>
        </w:rPr>
        <w:t xml:space="preserve"> food aisle</w:t>
      </w:r>
      <w:r>
        <w:rPr>
          <w:rFonts w:ascii="Arial" w:hAnsi="Arial" w:cs="Arial"/>
          <w:color w:val="000000" w:themeColor="text1"/>
          <w:sz w:val="20"/>
          <w:szCs w:val="20"/>
        </w:rPr>
        <w:t xml:space="preserve">, </w:t>
      </w:r>
      <w:r w:rsidR="00D22F99">
        <w:rPr>
          <w:rFonts w:ascii="Arial" w:hAnsi="Arial" w:cs="Arial"/>
          <w:color w:val="000000" w:themeColor="text1"/>
          <w:sz w:val="20"/>
          <w:szCs w:val="20"/>
        </w:rPr>
        <w:t>t</w:t>
      </w:r>
      <w:r w:rsidR="005D27D0">
        <w:rPr>
          <w:rFonts w:ascii="Arial" w:hAnsi="Arial" w:cs="Arial"/>
          <w:color w:val="000000" w:themeColor="text1"/>
          <w:sz w:val="20"/>
          <w:szCs w:val="20"/>
        </w:rPr>
        <w:t xml:space="preserve">he average price per pound </w:t>
      </w:r>
      <w:r w:rsidR="00E11240">
        <w:rPr>
          <w:rFonts w:ascii="Arial" w:hAnsi="Arial" w:cs="Arial"/>
          <w:color w:val="000000" w:themeColor="text1"/>
          <w:sz w:val="20"/>
          <w:szCs w:val="20"/>
        </w:rPr>
        <w:t>for shrimp</w:t>
      </w:r>
      <w:r w:rsidR="00A01B39">
        <w:rPr>
          <w:rFonts w:ascii="Arial" w:hAnsi="Arial" w:cs="Arial"/>
          <w:color w:val="000000" w:themeColor="text1"/>
          <w:sz w:val="20"/>
          <w:szCs w:val="20"/>
        </w:rPr>
        <w:t xml:space="preserve"> </w:t>
      </w:r>
      <w:r w:rsidR="004A1434">
        <w:rPr>
          <w:rFonts w:ascii="Arial" w:hAnsi="Arial" w:cs="Arial"/>
          <w:color w:val="000000" w:themeColor="text1"/>
          <w:sz w:val="20"/>
          <w:szCs w:val="20"/>
        </w:rPr>
        <w:t>rose 1.6</w:t>
      </w:r>
      <w:r w:rsidR="005D27D0">
        <w:rPr>
          <w:rFonts w:ascii="Arial" w:hAnsi="Arial" w:cs="Arial"/>
          <w:color w:val="000000" w:themeColor="text1"/>
          <w:sz w:val="20"/>
          <w:szCs w:val="20"/>
        </w:rPr>
        <w:t>%</w:t>
      </w:r>
      <w:r w:rsidR="00456776">
        <w:rPr>
          <w:rFonts w:ascii="Arial" w:hAnsi="Arial" w:cs="Arial"/>
          <w:color w:val="000000" w:themeColor="text1"/>
          <w:sz w:val="20"/>
          <w:szCs w:val="20"/>
        </w:rPr>
        <w:t xml:space="preserve">, whereas </w:t>
      </w:r>
      <w:r w:rsidR="002327AA">
        <w:rPr>
          <w:rFonts w:ascii="Arial" w:hAnsi="Arial" w:cs="Arial"/>
          <w:color w:val="000000" w:themeColor="text1"/>
          <w:sz w:val="20"/>
          <w:szCs w:val="20"/>
        </w:rPr>
        <w:t xml:space="preserve">frozen </w:t>
      </w:r>
      <w:r w:rsidR="005D27D0">
        <w:rPr>
          <w:rFonts w:ascii="Arial" w:hAnsi="Arial" w:cs="Arial"/>
          <w:color w:val="000000" w:themeColor="text1"/>
          <w:sz w:val="20"/>
          <w:szCs w:val="20"/>
        </w:rPr>
        <w:t>salmon</w:t>
      </w:r>
      <w:r w:rsidR="00E607E5">
        <w:rPr>
          <w:rFonts w:ascii="Arial" w:hAnsi="Arial" w:cs="Arial"/>
          <w:color w:val="000000" w:themeColor="text1"/>
          <w:sz w:val="20"/>
          <w:szCs w:val="20"/>
        </w:rPr>
        <w:t xml:space="preserve"> </w:t>
      </w:r>
      <w:r w:rsidR="0006594A">
        <w:rPr>
          <w:rFonts w:ascii="Arial" w:hAnsi="Arial" w:cs="Arial"/>
          <w:color w:val="000000" w:themeColor="text1"/>
          <w:sz w:val="20"/>
          <w:szCs w:val="20"/>
        </w:rPr>
        <w:t xml:space="preserve">prices </w:t>
      </w:r>
      <w:r w:rsidR="000A7977">
        <w:rPr>
          <w:rFonts w:ascii="Arial" w:hAnsi="Arial" w:cs="Arial"/>
          <w:color w:val="000000" w:themeColor="text1"/>
          <w:sz w:val="20"/>
          <w:szCs w:val="20"/>
        </w:rPr>
        <w:t>dipped below $9 per pound</w:t>
      </w:r>
      <w:r w:rsidR="005D27D0">
        <w:rPr>
          <w:rFonts w:ascii="Arial" w:hAnsi="Arial" w:cs="Arial"/>
          <w:color w:val="000000" w:themeColor="text1"/>
          <w:sz w:val="20"/>
          <w:szCs w:val="20"/>
        </w:rPr>
        <w:t>.</w:t>
      </w:r>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Default="00D12080" w:rsidP="00D12080">
      <w:pPr>
        <w:pStyle w:val="NoSpacing"/>
        <w:rPr>
          <w:rFonts w:ascii="Arial" w:hAnsi="Arial" w:cs="Arial"/>
          <w:sz w:val="16"/>
          <w:szCs w:val="16"/>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6"/>
    <w:p w14:paraId="6B7D04C3" w14:textId="77777777" w:rsidR="00DC5164" w:rsidRDefault="00DC5164"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730E3148" w14:textId="08AED68F" w:rsidR="002327AA" w:rsidRDefault="005870D5" w:rsidP="00BB587C">
      <w:pPr>
        <w:pStyle w:val="NoSpacing"/>
        <w:rPr>
          <w:rFonts w:ascii="Arial" w:hAnsi="Arial" w:cs="Arial"/>
          <w:sz w:val="20"/>
          <w:szCs w:val="20"/>
        </w:rPr>
      </w:pPr>
      <w:bookmarkStart w:id="7" w:name="_Hlk92610860"/>
      <w:r>
        <w:rPr>
          <w:rFonts w:ascii="Arial" w:hAnsi="Arial" w:cs="Arial"/>
          <w:sz w:val="20"/>
          <w:szCs w:val="20"/>
        </w:rPr>
        <w:t xml:space="preserve">In 2024, Lent started on February 14. This year, Lent started on March 5. The much later start </w:t>
      </w:r>
      <w:r w:rsidR="00A856F4">
        <w:rPr>
          <w:rFonts w:ascii="Arial" w:hAnsi="Arial" w:cs="Arial"/>
          <w:sz w:val="20"/>
          <w:szCs w:val="20"/>
        </w:rPr>
        <w:t>to</w:t>
      </w:r>
      <w:r>
        <w:rPr>
          <w:rFonts w:ascii="Arial" w:hAnsi="Arial" w:cs="Arial"/>
          <w:sz w:val="20"/>
          <w:szCs w:val="20"/>
        </w:rPr>
        <w:t xml:space="preserve"> </w:t>
      </w:r>
      <w:r w:rsidR="00A856F4">
        <w:rPr>
          <w:rFonts w:ascii="Arial" w:hAnsi="Arial" w:cs="Arial"/>
          <w:sz w:val="20"/>
          <w:szCs w:val="20"/>
        </w:rPr>
        <w:t xml:space="preserve">the </w:t>
      </w:r>
      <w:r>
        <w:rPr>
          <w:rFonts w:ascii="Arial" w:hAnsi="Arial" w:cs="Arial"/>
          <w:sz w:val="20"/>
          <w:szCs w:val="20"/>
        </w:rPr>
        <w:t>Lent and Easter had a substantial impact on year-over-year seafood sales</w:t>
      </w:r>
      <w:r w:rsidR="004A1434">
        <w:rPr>
          <w:rFonts w:ascii="Arial" w:hAnsi="Arial" w:cs="Arial"/>
          <w:sz w:val="20"/>
          <w:szCs w:val="20"/>
        </w:rPr>
        <w:t xml:space="preserve"> in February, but </w:t>
      </w:r>
      <w:r w:rsidR="000B0F9C">
        <w:rPr>
          <w:rFonts w:ascii="Arial" w:hAnsi="Arial" w:cs="Arial"/>
          <w:sz w:val="20"/>
          <w:szCs w:val="20"/>
        </w:rPr>
        <w:t>evened out in March. Refrigerated, frozen and shelf-stable seafood all grew dollar sales year-over-year. Additionally, all three grew pound sales compared to March 2024. Frozen seafood was the biggest category in March 2025 and also had the highest dollar gains</w:t>
      </w:r>
      <w:r>
        <w:rPr>
          <w:rFonts w:ascii="Arial" w:hAnsi="Arial" w:cs="Arial"/>
          <w:sz w:val="20"/>
          <w:szCs w:val="20"/>
        </w:rPr>
        <w:t>.</w:t>
      </w:r>
      <w:r w:rsidR="000B0F9C">
        <w:rPr>
          <w:rFonts w:ascii="Arial" w:hAnsi="Arial" w:cs="Arial"/>
          <w:sz w:val="20"/>
          <w:szCs w:val="20"/>
        </w:rPr>
        <w:t xml:space="preserve"> Shelf-stable seafood had the highest pound gains, but on a much smaller base. </w:t>
      </w:r>
      <w:r>
        <w:rPr>
          <w:rFonts w:ascii="Arial" w:hAnsi="Arial" w:cs="Arial"/>
          <w:sz w:val="20"/>
          <w:szCs w:val="20"/>
        </w:rPr>
        <w:t xml:space="preserve"> </w:t>
      </w:r>
      <w:r w:rsidR="00456776">
        <w:rPr>
          <w:rFonts w:ascii="Arial" w:hAnsi="Arial" w:cs="Arial"/>
          <w:sz w:val="20"/>
          <w:szCs w:val="20"/>
        </w:rPr>
        <w:t xml:space="preserve"> </w:t>
      </w:r>
      <w:r w:rsidR="00A94364">
        <w:rPr>
          <w:rFonts w:ascii="Arial" w:hAnsi="Arial" w:cs="Arial"/>
          <w:sz w:val="20"/>
          <w:szCs w:val="20"/>
        </w:rPr>
        <w:t xml:space="preserve"> </w:t>
      </w:r>
    </w:p>
    <w:p w14:paraId="32CF301A" w14:textId="124C2004" w:rsidR="00BB587C" w:rsidRDefault="00BB587C" w:rsidP="00BB587C">
      <w:pPr>
        <w:pStyle w:val="NoSpacing"/>
        <w:rPr>
          <w:rFonts w:ascii="Arial" w:hAnsi="Arial" w:cs="Arial"/>
          <w:color w:val="7F7F7F" w:themeColor="text1" w:themeTint="80"/>
          <w:sz w:val="12"/>
          <w:szCs w:val="16"/>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1A62C64A"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March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3F7A86"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3F7A86" w:rsidRPr="001C710E" w:rsidRDefault="003F7A86" w:rsidP="003F7A8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0E481E77" w:rsidR="003F7A86" w:rsidRPr="001C710E"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47E17">
              <w:rPr>
                <w:rFonts w:ascii="Arial" w:hAnsi="Arial" w:cs="Arial"/>
                <w:bCs/>
                <w:color w:val="000000" w:themeColor="text1"/>
                <w:sz w:val="18"/>
                <w:szCs w:val="18"/>
              </w:rPr>
              <w:t>$</w:t>
            </w:r>
            <w:r w:rsidR="005870D5">
              <w:rPr>
                <w:rFonts w:ascii="Arial" w:hAnsi="Arial" w:cs="Arial"/>
                <w:bCs/>
                <w:color w:val="000000" w:themeColor="text1"/>
                <w:sz w:val="18"/>
                <w:szCs w:val="18"/>
              </w:rPr>
              <w:t>6</w:t>
            </w:r>
            <w:r w:rsidR="000A3117">
              <w:rPr>
                <w:rFonts w:ascii="Arial" w:hAnsi="Arial" w:cs="Arial"/>
                <w:bCs/>
                <w:color w:val="000000" w:themeColor="text1"/>
                <w:sz w:val="18"/>
                <w:szCs w:val="18"/>
              </w:rPr>
              <w:t>79</w:t>
            </w:r>
            <w:r>
              <w:rPr>
                <w:rFonts w:ascii="Arial" w:hAnsi="Arial" w:cs="Arial"/>
                <w:bCs/>
                <w:color w:val="000000" w:themeColor="text1"/>
                <w:sz w:val="18"/>
                <w:szCs w:val="18"/>
              </w:rPr>
              <w:t>M</w:t>
            </w:r>
          </w:p>
        </w:tc>
        <w:tc>
          <w:tcPr>
            <w:tcW w:w="853" w:type="dxa"/>
          </w:tcPr>
          <w:p w14:paraId="32EAC8D0" w14:textId="7578722C" w:rsidR="003F7A86" w:rsidRPr="001C710E"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+1.9</w:t>
            </w:r>
            <w:r w:rsidR="003F7A86" w:rsidRPr="00DC78A5">
              <w:rPr>
                <w:rFonts w:ascii="Arial" w:hAnsi="Arial" w:cs="Arial"/>
                <w:bCs/>
                <w:color w:val="000000" w:themeColor="text1"/>
                <w:sz w:val="18"/>
                <w:szCs w:val="18"/>
              </w:rPr>
              <w:t>%</w:t>
            </w:r>
          </w:p>
        </w:tc>
        <w:tc>
          <w:tcPr>
            <w:tcW w:w="913" w:type="dxa"/>
          </w:tcPr>
          <w:p w14:paraId="742691D3" w14:textId="25A16719" w:rsidR="003F7A86" w:rsidRPr="001C710E"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E7473">
              <w:rPr>
                <w:rFonts w:ascii="Arial" w:hAnsi="Arial" w:cs="Arial"/>
                <w:bCs/>
                <w:color w:val="000000"/>
                <w:sz w:val="18"/>
                <w:szCs w:val="18"/>
              </w:rPr>
              <w:t>-</w:t>
            </w:r>
            <w:r w:rsidR="000A3117">
              <w:rPr>
                <w:rFonts w:ascii="Arial" w:hAnsi="Arial" w:cs="Arial"/>
                <w:bCs/>
                <w:color w:val="000000"/>
                <w:sz w:val="18"/>
                <w:szCs w:val="18"/>
              </w:rPr>
              <w:t>1.7</w:t>
            </w:r>
            <w:r w:rsidRPr="000E7473">
              <w:rPr>
                <w:rFonts w:ascii="Arial" w:hAnsi="Arial" w:cs="Arial"/>
                <w:bCs/>
                <w:color w:val="000000"/>
                <w:sz w:val="18"/>
                <w:szCs w:val="18"/>
              </w:rPr>
              <w:t>%</w:t>
            </w:r>
          </w:p>
        </w:tc>
        <w:tc>
          <w:tcPr>
            <w:tcW w:w="883" w:type="dxa"/>
          </w:tcPr>
          <w:p w14:paraId="06B549B0" w14:textId="66F96F82" w:rsidR="003F7A86" w:rsidRPr="001C710E"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+1.4</w:t>
            </w:r>
            <w:r w:rsidR="003F7A86" w:rsidRPr="000E7473">
              <w:rPr>
                <w:rFonts w:ascii="Arial" w:hAnsi="Arial" w:cs="Arial"/>
                <w:bCs/>
                <w:color w:val="000000"/>
                <w:sz w:val="18"/>
                <w:szCs w:val="18"/>
              </w:rPr>
              <w:t>%</w:t>
            </w:r>
          </w:p>
        </w:tc>
        <w:tc>
          <w:tcPr>
            <w:tcW w:w="882" w:type="dxa"/>
            <w:tcBorders>
              <w:right w:val="single" w:sz="4" w:space="0" w:color="31849B" w:themeColor="accent5" w:themeShade="BF"/>
            </w:tcBorders>
          </w:tcPr>
          <w:p w14:paraId="73D88621" w14:textId="70B1AE0E" w:rsidR="003F7A86" w:rsidRPr="001C710E" w:rsidRDefault="00046AD4"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0.4</w:t>
            </w:r>
            <w:r w:rsidR="003F7A86" w:rsidRPr="009E5E77">
              <w:rPr>
                <w:rFonts w:ascii="Arial" w:hAnsi="Arial" w:cs="Arial"/>
                <w:bCs/>
                <w:color w:val="000000"/>
                <w:sz w:val="18"/>
                <w:szCs w:val="18"/>
              </w:rPr>
              <w:t>%</w:t>
            </w:r>
          </w:p>
        </w:tc>
        <w:tc>
          <w:tcPr>
            <w:tcW w:w="973" w:type="dxa"/>
            <w:tcBorders>
              <w:left w:val="single" w:sz="4" w:space="0" w:color="31849B" w:themeColor="accent5" w:themeShade="BF"/>
            </w:tcBorders>
          </w:tcPr>
          <w:p w14:paraId="549E8BBC" w14:textId="450ECC00"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84F1A">
              <w:rPr>
                <w:rFonts w:ascii="Arial" w:hAnsi="Arial" w:cs="Arial"/>
                <w:bCs/>
                <w:color w:val="000000"/>
                <w:sz w:val="18"/>
                <w:szCs w:val="18"/>
              </w:rPr>
              <w:t>-</w:t>
            </w:r>
            <w:r w:rsidR="006B7E05">
              <w:rPr>
                <w:rFonts w:ascii="Arial" w:hAnsi="Arial" w:cs="Arial"/>
                <w:bCs/>
                <w:color w:val="000000"/>
                <w:sz w:val="18"/>
                <w:szCs w:val="18"/>
              </w:rPr>
              <w:t>1.</w:t>
            </w:r>
            <w:r w:rsidR="000A3117">
              <w:rPr>
                <w:rFonts w:ascii="Arial" w:hAnsi="Arial" w:cs="Arial"/>
                <w:bCs/>
                <w:color w:val="000000"/>
                <w:sz w:val="18"/>
                <w:szCs w:val="18"/>
              </w:rPr>
              <w:t>1</w:t>
            </w:r>
            <w:r w:rsidRPr="00D84F1A">
              <w:rPr>
                <w:rFonts w:ascii="Arial" w:hAnsi="Arial" w:cs="Arial"/>
                <w:bCs/>
                <w:color w:val="000000"/>
                <w:sz w:val="18"/>
                <w:szCs w:val="18"/>
              </w:rPr>
              <w:t>%</w:t>
            </w:r>
          </w:p>
        </w:tc>
        <w:tc>
          <w:tcPr>
            <w:tcW w:w="973" w:type="dxa"/>
          </w:tcPr>
          <w:p w14:paraId="61638CED" w14:textId="31DD588B"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84F1A">
              <w:rPr>
                <w:rFonts w:ascii="Arial" w:hAnsi="Arial" w:cs="Arial"/>
                <w:bCs/>
                <w:color w:val="000000"/>
                <w:sz w:val="18"/>
                <w:szCs w:val="18"/>
              </w:rPr>
              <w:t>-</w:t>
            </w:r>
            <w:r w:rsidR="005870D5">
              <w:rPr>
                <w:rFonts w:ascii="Arial" w:hAnsi="Arial" w:cs="Arial"/>
                <w:bCs/>
                <w:color w:val="000000"/>
                <w:sz w:val="18"/>
                <w:szCs w:val="18"/>
              </w:rPr>
              <w:t>4.</w:t>
            </w:r>
            <w:r w:rsidR="000A3117">
              <w:rPr>
                <w:rFonts w:ascii="Arial" w:hAnsi="Arial" w:cs="Arial"/>
                <w:bCs/>
                <w:color w:val="000000"/>
                <w:sz w:val="18"/>
                <w:szCs w:val="18"/>
              </w:rPr>
              <w:t>5</w:t>
            </w:r>
            <w:r w:rsidRPr="00D84F1A">
              <w:rPr>
                <w:rFonts w:ascii="Arial" w:hAnsi="Arial" w:cs="Arial"/>
                <w:bCs/>
                <w:color w:val="000000"/>
                <w:sz w:val="18"/>
                <w:szCs w:val="18"/>
              </w:rPr>
              <w:t>%</w:t>
            </w:r>
          </w:p>
        </w:tc>
        <w:tc>
          <w:tcPr>
            <w:tcW w:w="973" w:type="dxa"/>
          </w:tcPr>
          <w:p w14:paraId="432253F0" w14:textId="01B2420C"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84F1A">
              <w:rPr>
                <w:rFonts w:ascii="Arial" w:hAnsi="Arial" w:cs="Arial"/>
                <w:bCs/>
                <w:color w:val="000000"/>
                <w:sz w:val="18"/>
                <w:szCs w:val="18"/>
              </w:rPr>
              <w:t>-</w:t>
            </w:r>
            <w:r w:rsidR="000A3117">
              <w:rPr>
                <w:rFonts w:ascii="Arial" w:hAnsi="Arial" w:cs="Arial"/>
                <w:bCs/>
                <w:color w:val="000000"/>
                <w:sz w:val="18"/>
                <w:szCs w:val="18"/>
              </w:rPr>
              <w:t>1.9</w:t>
            </w:r>
            <w:r w:rsidRPr="00D84F1A">
              <w:rPr>
                <w:rFonts w:ascii="Arial" w:hAnsi="Arial" w:cs="Arial"/>
                <w:bCs/>
                <w:color w:val="000000"/>
                <w:sz w:val="18"/>
                <w:szCs w:val="18"/>
              </w:rPr>
              <w:t>%</w:t>
            </w:r>
          </w:p>
        </w:tc>
        <w:tc>
          <w:tcPr>
            <w:tcW w:w="973" w:type="dxa"/>
          </w:tcPr>
          <w:p w14:paraId="16FAF0FC" w14:textId="1D7B5F76"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84F1A">
              <w:rPr>
                <w:rFonts w:ascii="Arial" w:hAnsi="Arial" w:cs="Arial"/>
                <w:bCs/>
                <w:color w:val="000000"/>
                <w:sz w:val="18"/>
                <w:szCs w:val="18"/>
              </w:rPr>
              <w:t>-</w:t>
            </w:r>
            <w:r w:rsidR="005870D5">
              <w:rPr>
                <w:rFonts w:ascii="Arial" w:hAnsi="Arial" w:cs="Arial"/>
                <w:bCs/>
                <w:color w:val="000000"/>
                <w:sz w:val="18"/>
                <w:szCs w:val="18"/>
              </w:rPr>
              <w:t>3.2</w:t>
            </w:r>
            <w:r w:rsidRPr="00D84F1A">
              <w:rPr>
                <w:rFonts w:ascii="Arial" w:hAnsi="Arial" w:cs="Arial"/>
                <w:bCs/>
                <w:color w:val="000000"/>
                <w:sz w:val="18"/>
                <w:szCs w:val="18"/>
              </w:rPr>
              <w:t>%</w:t>
            </w:r>
          </w:p>
        </w:tc>
      </w:tr>
      <w:tr w:rsidR="003F7A86"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3F7A86" w:rsidRPr="000A3117" w:rsidRDefault="003F7A86" w:rsidP="003F7A86">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1B74E598" w:rsidR="003F7A86" w:rsidRPr="001C710E"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D5653C">
              <w:rPr>
                <w:rFonts w:ascii="Arial" w:hAnsi="Arial" w:cs="Arial"/>
                <w:bCs/>
                <w:color w:val="000000" w:themeColor="text1"/>
                <w:sz w:val="18"/>
                <w:szCs w:val="18"/>
              </w:rPr>
              <w:t>738</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0214445A" w:rsidR="003F7A86" w:rsidRPr="001C710E"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+5.1</w:t>
            </w:r>
            <w:r w:rsidR="003F7A86" w:rsidRPr="00DC78A5">
              <w:rPr>
                <w:rFonts w:ascii="Arial" w:hAnsi="Arial" w:cs="Arial"/>
                <w:bCs/>
                <w:color w:val="000000" w:themeColor="text1"/>
                <w:sz w:val="18"/>
                <w:szCs w:val="18"/>
              </w:rPr>
              <w:t>%</w:t>
            </w:r>
          </w:p>
        </w:tc>
        <w:tc>
          <w:tcPr>
            <w:tcW w:w="913" w:type="dxa"/>
            <w:shd w:val="clear" w:color="auto" w:fill="D9D9D9" w:themeFill="background1" w:themeFillShade="D9"/>
          </w:tcPr>
          <w:p w14:paraId="380E2648" w14:textId="6AB9A3AA" w:rsidR="003F7A86" w:rsidRPr="001C710E"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+2.2</w:t>
            </w:r>
            <w:r w:rsidR="003F7A86" w:rsidRPr="009167CB">
              <w:rPr>
                <w:rFonts w:ascii="Arial" w:hAnsi="Arial" w:cs="Arial"/>
                <w:bCs/>
                <w:color w:val="000000" w:themeColor="text1"/>
                <w:sz w:val="18"/>
                <w:szCs w:val="18"/>
              </w:rPr>
              <w:t>%</w:t>
            </w:r>
          </w:p>
        </w:tc>
        <w:tc>
          <w:tcPr>
            <w:tcW w:w="883" w:type="dxa"/>
            <w:shd w:val="clear" w:color="auto" w:fill="D9D9D9" w:themeFill="background1" w:themeFillShade="D9"/>
          </w:tcPr>
          <w:p w14:paraId="11DF626A" w14:textId="65BCFBAE" w:rsidR="003F7A86" w:rsidRPr="001C710E"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+3.1</w:t>
            </w:r>
            <w:r w:rsidR="003F7A86" w:rsidRPr="000D6C33">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542126CB" w:rsidR="003F7A86" w:rsidRPr="001C710E" w:rsidRDefault="00D5653C" w:rsidP="003F7A8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+9.0</w:t>
            </w:r>
            <w:r w:rsidR="003F7A86" w:rsidRPr="009E5E77">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0A423840" w:rsidR="003F7A86" w:rsidRPr="001C710E" w:rsidRDefault="003F7A86" w:rsidP="003F7A8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84F1A">
              <w:rPr>
                <w:rFonts w:ascii="Arial" w:hAnsi="Arial" w:cs="Arial"/>
                <w:bCs/>
                <w:color w:val="000000"/>
                <w:sz w:val="18"/>
                <w:szCs w:val="18"/>
              </w:rPr>
              <w:t>-</w:t>
            </w:r>
            <w:r w:rsidR="00D5653C">
              <w:rPr>
                <w:rFonts w:ascii="Arial" w:hAnsi="Arial" w:cs="Arial"/>
                <w:bCs/>
                <w:color w:val="000000"/>
                <w:sz w:val="18"/>
                <w:szCs w:val="18"/>
              </w:rPr>
              <w:t>0.5</w:t>
            </w:r>
            <w:r w:rsidRPr="00D84F1A">
              <w:rPr>
                <w:rFonts w:ascii="Arial" w:hAnsi="Arial" w:cs="Arial"/>
                <w:bCs/>
                <w:color w:val="000000"/>
                <w:sz w:val="18"/>
                <w:szCs w:val="18"/>
              </w:rPr>
              <w:t>%</w:t>
            </w:r>
          </w:p>
        </w:tc>
        <w:tc>
          <w:tcPr>
            <w:tcW w:w="973" w:type="dxa"/>
            <w:shd w:val="clear" w:color="auto" w:fill="D9D9D9" w:themeFill="background1" w:themeFillShade="D9"/>
          </w:tcPr>
          <w:p w14:paraId="7BC58367" w14:textId="5E0DF6AE" w:rsidR="003F7A86" w:rsidRPr="001C710E" w:rsidRDefault="003F7A86" w:rsidP="003F7A8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84F1A">
              <w:rPr>
                <w:rFonts w:ascii="Arial" w:hAnsi="Arial" w:cs="Arial"/>
                <w:bCs/>
                <w:color w:val="000000"/>
                <w:sz w:val="18"/>
                <w:szCs w:val="18"/>
              </w:rPr>
              <w:t>-</w:t>
            </w:r>
            <w:r w:rsidR="00D5653C">
              <w:rPr>
                <w:rFonts w:ascii="Arial" w:hAnsi="Arial" w:cs="Arial"/>
                <w:bCs/>
                <w:color w:val="000000"/>
                <w:sz w:val="18"/>
                <w:szCs w:val="18"/>
              </w:rPr>
              <w:t>5.3</w:t>
            </w:r>
            <w:r w:rsidRPr="00D84F1A">
              <w:rPr>
                <w:rFonts w:ascii="Arial" w:hAnsi="Arial" w:cs="Arial"/>
                <w:bCs/>
                <w:color w:val="000000"/>
                <w:sz w:val="18"/>
                <w:szCs w:val="18"/>
              </w:rPr>
              <w:t>%</w:t>
            </w:r>
          </w:p>
        </w:tc>
        <w:tc>
          <w:tcPr>
            <w:tcW w:w="973" w:type="dxa"/>
            <w:shd w:val="clear" w:color="auto" w:fill="D9D9D9" w:themeFill="background1" w:themeFillShade="D9"/>
          </w:tcPr>
          <w:p w14:paraId="634EFC21" w14:textId="602FB808" w:rsidR="003F7A86" w:rsidRPr="001C710E" w:rsidRDefault="003F7A86" w:rsidP="003F7A8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5870D5">
              <w:rPr>
                <w:rFonts w:ascii="Arial" w:hAnsi="Arial" w:cs="Arial"/>
                <w:bCs/>
                <w:color w:val="000000"/>
                <w:sz w:val="18"/>
                <w:szCs w:val="18"/>
              </w:rPr>
              <w:t>0.1</w:t>
            </w:r>
            <w:r w:rsidRPr="00D84F1A">
              <w:rPr>
                <w:rFonts w:ascii="Arial" w:hAnsi="Arial" w:cs="Arial"/>
                <w:bCs/>
                <w:color w:val="000000"/>
                <w:sz w:val="18"/>
                <w:szCs w:val="18"/>
              </w:rPr>
              <w:t>%</w:t>
            </w:r>
          </w:p>
        </w:tc>
        <w:tc>
          <w:tcPr>
            <w:tcW w:w="973" w:type="dxa"/>
            <w:shd w:val="clear" w:color="auto" w:fill="D9D9D9" w:themeFill="background1" w:themeFillShade="D9"/>
          </w:tcPr>
          <w:p w14:paraId="682B659D" w14:textId="744D9CDA" w:rsidR="003F7A86" w:rsidRPr="001C710E" w:rsidRDefault="006B7E05" w:rsidP="003F7A8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w:t>
            </w:r>
            <w:r w:rsidR="00D5653C">
              <w:rPr>
                <w:rFonts w:ascii="Arial" w:hAnsi="Arial" w:cs="Arial"/>
                <w:bCs/>
                <w:color w:val="000000"/>
                <w:sz w:val="18"/>
                <w:szCs w:val="18"/>
              </w:rPr>
              <w:t>7</w:t>
            </w:r>
            <w:r w:rsidR="003F7A86" w:rsidRPr="00D84F1A">
              <w:rPr>
                <w:rFonts w:ascii="Arial" w:hAnsi="Arial" w:cs="Arial"/>
                <w:bCs/>
                <w:color w:val="000000"/>
                <w:sz w:val="18"/>
                <w:szCs w:val="18"/>
              </w:rPr>
              <w:t>%</w:t>
            </w:r>
          </w:p>
        </w:tc>
      </w:tr>
      <w:tr w:rsidR="003F7A86" w:rsidRPr="001C710E" w14:paraId="6B623256" w14:textId="77777777" w:rsidTr="0035108F">
        <w:trPr>
          <w:trHeight w:val="113"/>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3F7A86" w:rsidRPr="000A3117" w:rsidRDefault="003F7A86" w:rsidP="003F7A86">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7280DDEE" w:rsidR="003F7A86" w:rsidRPr="001C710E" w:rsidRDefault="003F7A86" w:rsidP="003F7A86">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5870D5">
              <w:rPr>
                <w:rFonts w:ascii="Arial" w:hAnsi="Arial" w:cs="Arial"/>
                <w:bCs/>
                <w:color w:val="000000" w:themeColor="text1"/>
                <w:sz w:val="18"/>
                <w:szCs w:val="18"/>
              </w:rPr>
              <w:t>2</w:t>
            </w:r>
            <w:r w:rsidR="004A1434">
              <w:rPr>
                <w:rFonts w:ascii="Arial" w:hAnsi="Arial" w:cs="Arial"/>
                <w:bCs/>
                <w:color w:val="000000" w:themeColor="text1"/>
                <w:sz w:val="18"/>
                <w:szCs w:val="18"/>
              </w:rPr>
              <w:t>76</w:t>
            </w:r>
            <w:r>
              <w:rPr>
                <w:rFonts w:ascii="Arial" w:hAnsi="Arial" w:cs="Arial"/>
                <w:bCs/>
                <w:color w:val="000000" w:themeColor="text1"/>
                <w:sz w:val="18"/>
                <w:szCs w:val="18"/>
              </w:rPr>
              <w:t>M</w:t>
            </w:r>
          </w:p>
        </w:tc>
        <w:tc>
          <w:tcPr>
            <w:tcW w:w="853" w:type="dxa"/>
          </w:tcPr>
          <w:p w14:paraId="24281AAC" w14:textId="299DCF46" w:rsidR="003F7A86" w:rsidRPr="001C710E" w:rsidRDefault="004A1434"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+4.4</w:t>
            </w:r>
            <w:r w:rsidR="003F7A86" w:rsidRPr="00EF6C95">
              <w:rPr>
                <w:rFonts w:ascii="Arial" w:hAnsi="Arial" w:cs="Arial"/>
                <w:bCs/>
                <w:color w:val="000000" w:themeColor="text1"/>
                <w:sz w:val="18"/>
                <w:szCs w:val="18"/>
              </w:rPr>
              <w:t>%</w:t>
            </w:r>
          </w:p>
        </w:tc>
        <w:tc>
          <w:tcPr>
            <w:tcW w:w="913" w:type="dxa"/>
          </w:tcPr>
          <w:p w14:paraId="31940B22" w14:textId="6BEE7491" w:rsidR="003F7A86" w:rsidRPr="001C710E" w:rsidRDefault="004A143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+5.0</w:t>
            </w:r>
            <w:r w:rsidR="003F7A86" w:rsidRPr="009167CB">
              <w:rPr>
                <w:rFonts w:ascii="Arial" w:hAnsi="Arial" w:cs="Arial"/>
                <w:bCs/>
                <w:color w:val="000000" w:themeColor="text1"/>
                <w:sz w:val="18"/>
                <w:szCs w:val="18"/>
              </w:rPr>
              <w:t>%</w:t>
            </w:r>
          </w:p>
        </w:tc>
        <w:tc>
          <w:tcPr>
            <w:tcW w:w="883" w:type="dxa"/>
          </w:tcPr>
          <w:p w14:paraId="177BD83E" w14:textId="55E8E8D7" w:rsidR="003F7A86" w:rsidRPr="001C710E" w:rsidRDefault="004A143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+8.1</w:t>
            </w:r>
            <w:r w:rsidR="003F7A86" w:rsidRPr="000D6C33">
              <w:rPr>
                <w:rFonts w:ascii="Arial" w:hAnsi="Arial" w:cs="Arial"/>
                <w:bCs/>
                <w:color w:val="000000"/>
                <w:sz w:val="18"/>
                <w:szCs w:val="18"/>
              </w:rPr>
              <w:t>%</w:t>
            </w:r>
          </w:p>
        </w:tc>
        <w:tc>
          <w:tcPr>
            <w:tcW w:w="882" w:type="dxa"/>
            <w:tcBorders>
              <w:right w:val="single" w:sz="4" w:space="0" w:color="31849B" w:themeColor="accent5" w:themeShade="BF"/>
            </w:tcBorders>
          </w:tcPr>
          <w:p w14:paraId="0523818B" w14:textId="312F1F4D" w:rsidR="003F7A86" w:rsidRPr="001C710E" w:rsidRDefault="004A1434"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+10.9</w:t>
            </w:r>
            <w:r w:rsidR="003F7A86" w:rsidRPr="009E5E77">
              <w:rPr>
                <w:rFonts w:ascii="Arial" w:hAnsi="Arial" w:cs="Arial"/>
                <w:bCs/>
                <w:color w:val="000000"/>
                <w:sz w:val="18"/>
                <w:szCs w:val="18"/>
              </w:rPr>
              <w:t>%</w:t>
            </w:r>
          </w:p>
        </w:tc>
        <w:tc>
          <w:tcPr>
            <w:tcW w:w="973" w:type="dxa"/>
            <w:tcBorders>
              <w:left w:val="single" w:sz="4" w:space="0" w:color="31849B" w:themeColor="accent5" w:themeShade="BF"/>
            </w:tcBorders>
          </w:tcPr>
          <w:p w14:paraId="3E2D5BC2" w14:textId="5AC469BE"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0B0F9C">
              <w:rPr>
                <w:rFonts w:ascii="Arial" w:hAnsi="Arial" w:cs="Arial"/>
                <w:bCs/>
                <w:color w:val="000000" w:themeColor="text1"/>
                <w:sz w:val="18"/>
                <w:szCs w:val="18"/>
              </w:rPr>
              <w:t>1.5</w:t>
            </w:r>
            <w:r w:rsidRPr="003A2D66">
              <w:rPr>
                <w:rFonts w:ascii="Arial" w:hAnsi="Arial" w:cs="Arial"/>
                <w:bCs/>
                <w:color w:val="000000" w:themeColor="text1"/>
                <w:sz w:val="18"/>
                <w:szCs w:val="18"/>
              </w:rPr>
              <w:t>%</w:t>
            </w:r>
          </w:p>
        </w:tc>
        <w:tc>
          <w:tcPr>
            <w:tcW w:w="973" w:type="dxa"/>
          </w:tcPr>
          <w:p w14:paraId="6D25E609" w14:textId="400BA39E"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0B0F9C">
              <w:rPr>
                <w:rFonts w:ascii="Arial" w:hAnsi="Arial" w:cs="Arial"/>
                <w:bCs/>
                <w:color w:val="000000" w:themeColor="text1"/>
                <w:sz w:val="18"/>
                <w:szCs w:val="18"/>
              </w:rPr>
              <w:t>2.0</w:t>
            </w:r>
            <w:r w:rsidRPr="003A2D66">
              <w:rPr>
                <w:rFonts w:ascii="Arial" w:hAnsi="Arial" w:cs="Arial"/>
                <w:bCs/>
                <w:color w:val="000000" w:themeColor="text1"/>
                <w:sz w:val="18"/>
                <w:szCs w:val="18"/>
              </w:rPr>
              <w:t>%</w:t>
            </w:r>
          </w:p>
        </w:tc>
        <w:tc>
          <w:tcPr>
            <w:tcW w:w="973" w:type="dxa"/>
          </w:tcPr>
          <w:p w14:paraId="61F6C8D3" w14:textId="209F39DB"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0B0F9C">
              <w:rPr>
                <w:rFonts w:ascii="Arial" w:hAnsi="Arial" w:cs="Arial"/>
                <w:bCs/>
                <w:color w:val="000000" w:themeColor="text1"/>
                <w:sz w:val="18"/>
                <w:szCs w:val="18"/>
              </w:rPr>
              <w:t>5.4</w:t>
            </w:r>
            <w:r w:rsidRPr="003A2D66">
              <w:rPr>
                <w:rFonts w:ascii="Arial" w:hAnsi="Arial" w:cs="Arial"/>
                <w:bCs/>
                <w:color w:val="000000" w:themeColor="text1"/>
                <w:sz w:val="18"/>
                <w:szCs w:val="18"/>
              </w:rPr>
              <w:t>%</w:t>
            </w:r>
          </w:p>
        </w:tc>
        <w:tc>
          <w:tcPr>
            <w:tcW w:w="973" w:type="dxa"/>
          </w:tcPr>
          <w:p w14:paraId="538333AC" w14:textId="04C06BE7" w:rsidR="003F7A86" w:rsidRPr="001C710E" w:rsidRDefault="003F7A86" w:rsidP="003F7A8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0B0F9C">
              <w:rPr>
                <w:rFonts w:ascii="Arial" w:hAnsi="Arial" w:cs="Arial"/>
                <w:bCs/>
                <w:color w:val="000000" w:themeColor="text1"/>
                <w:sz w:val="18"/>
                <w:szCs w:val="18"/>
              </w:rPr>
              <w:t>3.4</w:t>
            </w:r>
            <w:r w:rsidRPr="003A2D66">
              <w:rPr>
                <w:rFonts w:ascii="Arial" w:hAnsi="Arial" w:cs="Arial"/>
                <w:bCs/>
                <w:color w:val="000000" w:themeColor="text1"/>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7"/>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7903A0C6" w:rsidR="00A94364" w:rsidRDefault="00685A53" w:rsidP="00456776">
      <w:pPr>
        <w:pStyle w:val="NoSpacing"/>
        <w:ind w:right="11"/>
        <w:rPr>
          <w:rFonts w:ascii="Arial" w:hAnsi="Arial" w:cs="Arial"/>
          <w:sz w:val="20"/>
        </w:rPr>
      </w:pPr>
      <w:r>
        <w:rPr>
          <w:rFonts w:ascii="Arial" w:hAnsi="Arial" w:cs="Arial"/>
          <w:sz w:val="20"/>
        </w:rPr>
        <w:t xml:space="preserve">The later start to Lent </w:t>
      </w:r>
      <w:r w:rsidR="000B0F9C">
        <w:rPr>
          <w:rFonts w:ascii="Arial" w:hAnsi="Arial" w:cs="Arial"/>
          <w:sz w:val="20"/>
        </w:rPr>
        <w:t xml:space="preserve">substantially </w:t>
      </w:r>
      <w:r>
        <w:rPr>
          <w:rFonts w:ascii="Arial" w:hAnsi="Arial" w:cs="Arial"/>
          <w:sz w:val="20"/>
        </w:rPr>
        <w:t>affected ambient seafood</w:t>
      </w:r>
      <w:r w:rsidR="000B0F9C">
        <w:rPr>
          <w:rFonts w:ascii="Arial" w:hAnsi="Arial" w:cs="Arial"/>
          <w:sz w:val="20"/>
        </w:rPr>
        <w:t xml:space="preserve"> sales in February, but growth resumed in March. </w:t>
      </w:r>
      <w:r>
        <w:rPr>
          <w:rFonts w:ascii="Arial" w:hAnsi="Arial" w:cs="Arial"/>
          <w:sz w:val="20"/>
        </w:rPr>
        <w:t>Cans and pouches</w:t>
      </w:r>
      <w:r w:rsidR="000B0F9C">
        <w:rPr>
          <w:rFonts w:ascii="Arial" w:hAnsi="Arial" w:cs="Arial"/>
          <w:sz w:val="20"/>
        </w:rPr>
        <w:t xml:space="preserve"> generated </w:t>
      </w:r>
      <w:r>
        <w:rPr>
          <w:rFonts w:ascii="Arial" w:hAnsi="Arial" w:cs="Arial"/>
          <w:sz w:val="20"/>
        </w:rPr>
        <w:t>$</w:t>
      </w:r>
      <w:r w:rsidR="000B0F9C">
        <w:rPr>
          <w:rFonts w:ascii="Arial" w:hAnsi="Arial" w:cs="Arial"/>
          <w:sz w:val="20"/>
        </w:rPr>
        <w:t>276</w:t>
      </w:r>
      <w:r>
        <w:rPr>
          <w:rFonts w:ascii="Arial" w:hAnsi="Arial" w:cs="Arial"/>
          <w:sz w:val="20"/>
        </w:rPr>
        <w:t xml:space="preserve"> million</w:t>
      </w:r>
      <w:r w:rsidR="000B0F9C">
        <w:rPr>
          <w:rFonts w:ascii="Arial" w:hAnsi="Arial" w:cs="Arial"/>
          <w:sz w:val="20"/>
        </w:rPr>
        <w:t xml:space="preserve"> in March 2025, which reflects a 4.4% increase in dollar sales and 10.9% increase in unit sales. Both growth rates are far higher than those seen in the full-year view. Ambient tuna was easily the biggest area of growth and sardines had very strong growth rates albeit on a small base. </w:t>
      </w:r>
    </w:p>
    <w:p w14:paraId="5CD2AC17" w14:textId="10E39EFB" w:rsidR="00A94364" w:rsidRPr="000B0F9C" w:rsidRDefault="00A94364" w:rsidP="00AD60E2">
      <w:pPr>
        <w:pStyle w:val="NoSpacing"/>
        <w:rPr>
          <w:rFonts w:ascii="Arial" w:hAnsi="Arial" w:cs="Arial"/>
          <w:sz w:val="16"/>
          <w:szCs w:val="18"/>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6E8520F1"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BE7E59" w:rsidRPr="00AD60E2" w14:paraId="11367CFE" w14:textId="77777777" w:rsidTr="006B7E05">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BE7E59" w:rsidRPr="00BE7E48" w:rsidRDefault="00BE7E59" w:rsidP="00BE7E59">
            <w:pPr>
              <w:pStyle w:val="NoSpacing"/>
              <w:rPr>
                <w:rFonts w:ascii="Arial" w:hAnsi="Arial" w:cs="Arial"/>
                <w:bCs w:val="0"/>
                <w:sz w:val="18"/>
                <w:szCs w:val="18"/>
              </w:rPr>
            </w:pPr>
            <w:r w:rsidRPr="00BE7E48">
              <w:rPr>
                <w:rFonts w:ascii="Arial" w:eastAsia="Times New Roman" w:hAnsi="Arial" w:cs="Arial"/>
                <w:bCs w:val="0"/>
                <w:sz w:val="18"/>
                <w:szCs w:val="18"/>
              </w:rPr>
              <w:t>Ambient seafood</w:t>
            </w:r>
          </w:p>
        </w:tc>
        <w:tc>
          <w:tcPr>
            <w:tcW w:w="1485" w:type="dxa"/>
            <w:vAlign w:val="center"/>
          </w:tcPr>
          <w:p w14:paraId="13FD707B" w14:textId="3C37B0A6"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0B0F9C">
              <w:rPr>
                <w:rFonts w:ascii="Arial" w:hAnsi="Arial" w:cs="Arial"/>
                <w:b/>
                <w:sz w:val="18"/>
                <w:szCs w:val="18"/>
              </w:rPr>
              <w:t>276</w:t>
            </w:r>
            <w:r w:rsidRPr="00BE7E48">
              <w:rPr>
                <w:rFonts w:ascii="Arial" w:hAnsi="Arial" w:cs="Arial"/>
                <w:b/>
                <w:sz w:val="18"/>
                <w:szCs w:val="18"/>
              </w:rPr>
              <w:t>M</w:t>
            </w:r>
          </w:p>
        </w:tc>
        <w:tc>
          <w:tcPr>
            <w:tcW w:w="1485" w:type="dxa"/>
            <w:vAlign w:val="center"/>
          </w:tcPr>
          <w:p w14:paraId="7CD0CA5D" w14:textId="41349957" w:rsidR="00BE7E59" w:rsidRPr="00BE7E48"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+4.4</w:t>
            </w:r>
            <w:r w:rsidR="00BE7E59" w:rsidRPr="00BE7E48">
              <w:rPr>
                <w:rFonts w:ascii="Arial" w:hAnsi="Arial" w:cs="Arial"/>
                <w:b/>
                <w:sz w:val="18"/>
                <w:szCs w:val="18"/>
              </w:rPr>
              <w:t>%</w:t>
            </w:r>
          </w:p>
        </w:tc>
        <w:tc>
          <w:tcPr>
            <w:tcW w:w="1485" w:type="dxa"/>
            <w:tcBorders>
              <w:right w:val="single" w:sz="4" w:space="0" w:color="31849B" w:themeColor="accent5" w:themeShade="BF"/>
            </w:tcBorders>
            <w:vAlign w:val="center"/>
          </w:tcPr>
          <w:p w14:paraId="70F04E03" w14:textId="60C53CA1" w:rsidR="00BE7E59" w:rsidRPr="00BE7E48"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+10.9</w:t>
            </w:r>
            <w:r w:rsidR="00BE7E59" w:rsidRPr="00BE7E48">
              <w:rPr>
                <w:rFonts w:ascii="Arial" w:hAnsi="Arial" w:cs="Arial"/>
                <w:b/>
                <w:sz w:val="18"/>
                <w:szCs w:val="18"/>
              </w:rPr>
              <w:t>%</w:t>
            </w:r>
          </w:p>
        </w:tc>
        <w:tc>
          <w:tcPr>
            <w:tcW w:w="1485" w:type="dxa"/>
            <w:gridSpan w:val="2"/>
            <w:tcBorders>
              <w:left w:val="single" w:sz="4" w:space="0" w:color="31849B" w:themeColor="accent5" w:themeShade="BF"/>
            </w:tcBorders>
            <w:vAlign w:val="center"/>
          </w:tcPr>
          <w:p w14:paraId="4DEDCF96" w14:textId="0C6B0F24"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6B7E05" w:rsidRPr="00BE7E48">
              <w:rPr>
                <w:rFonts w:ascii="Arial" w:hAnsi="Arial" w:cs="Arial"/>
                <w:b/>
                <w:sz w:val="18"/>
                <w:szCs w:val="18"/>
              </w:rPr>
              <w:t>3.3</w:t>
            </w:r>
            <w:r w:rsidRPr="00BE7E48">
              <w:rPr>
                <w:rFonts w:ascii="Arial" w:hAnsi="Arial" w:cs="Arial"/>
                <w:b/>
                <w:sz w:val="18"/>
                <w:szCs w:val="18"/>
              </w:rPr>
              <w:t>B</w:t>
            </w:r>
          </w:p>
        </w:tc>
        <w:tc>
          <w:tcPr>
            <w:tcW w:w="1485" w:type="dxa"/>
            <w:vAlign w:val="center"/>
          </w:tcPr>
          <w:p w14:paraId="37418921" w14:textId="54DA0780"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6B7E05" w:rsidRPr="00BE7E48">
              <w:rPr>
                <w:rFonts w:ascii="Arial" w:hAnsi="Arial" w:cs="Arial"/>
                <w:b/>
                <w:sz w:val="18"/>
                <w:szCs w:val="18"/>
              </w:rPr>
              <w:t>1.</w:t>
            </w:r>
            <w:r w:rsidR="000B0F9C">
              <w:rPr>
                <w:rFonts w:ascii="Arial" w:hAnsi="Arial" w:cs="Arial"/>
                <w:b/>
                <w:sz w:val="18"/>
                <w:szCs w:val="18"/>
              </w:rPr>
              <w:t>5</w:t>
            </w:r>
            <w:r w:rsidRPr="00BE7E48">
              <w:rPr>
                <w:rFonts w:ascii="Arial" w:hAnsi="Arial" w:cs="Arial"/>
                <w:b/>
                <w:sz w:val="18"/>
                <w:szCs w:val="18"/>
              </w:rPr>
              <w:t>%</w:t>
            </w:r>
          </w:p>
        </w:tc>
        <w:tc>
          <w:tcPr>
            <w:tcW w:w="1485" w:type="dxa"/>
            <w:vAlign w:val="center"/>
          </w:tcPr>
          <w:p w14:paraId="68369672" w14:textId="16FE378A"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0B0F9C">
              <w:rPr>
                <w:rFonts w:ascii="Arial" w:hAnsi="Arial" w:cs="Arial"/>
                <w:b/>
                <w:sz w:val="18"/>
                <w:szCs w:val="18"/>
              </w:rPr>
              <w:t>3.1</w:t>
            </w:r>
            <w:r w:rsidRPr="00BE7E48">
              <w:rPr>
                <w:rFonts w:ascii="Arial" w:hAnsi="Arial" w:cs="Arial"/>
                <w:b/>
                <w:sz w:val="18"/>
                <w:szCs w:val="18"/>
              </w:rPr>
              <w:t>%</w:t>
            </w:r>
          </w:p>
        </w:tc>
      </w:tr>
      <w:tr w:rsidR="00BE7E59" w:rsidRPr="00AD60E2" w14:paraId="5340B729" w14:textId="77777777" w:rsidTr="006B7E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BE7E59" w:rsidRPr="00AD60E2" w:rsidRDefault="00BE7E59" w:rsidP="00BE7E59">
            <w:pPr>
              <w:pStyle w:val="NoSpacing"/>
              <w:rPr>
                <w:rFonts w:ascii="Arial" w:hAnsi="Arial" w:cs="Arial"/>
                <w:b w:val="0"/>
                <w:bCs w:val="0"/>
                <w:sz w:val="18"/>
                <w:szCs w:val="18"/>
              </w:rPr>
            </w:pPr>
            <w:r w:rsidRPr="00AD60E2">
              <w:rPr>
                <w:rFonts w:ascii="Arial" w:eastAsia="Times New Roman" w:hAnsi="Arial" w:cs="Arial"/>
                <w:b w:val="0"/>
                <w:sz w:val="18"/>
                <w:szCs w:val="18"/>
              </w:rPr>
              <w:t>Ambient tuna</w:t>
            </w:r>
          </w:p>
        </w:tc>
        <w:tc>
          <w:tcPr>
            <w:tcW w:w="1485" w:type="dxa"/>
            <w:vAlign w:val="center"/>
          </w:tcPr>
          <w:p w14:paraId="467B2EF3" w14:textId="54A36506" w:rsidR="00BE7E59" w:rsidRPr="0024661E"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C84">
              <w:rPr>
                <w:rFonts w:ascii="Arial" w:hAnsi="Arial" w:cs="Arial"/>
                <w:sz w:val="18"/>
                <w:szCs w:val="18"/>
              </w:rPr>
              <w:t>$</w:t>
            </w:r>
            <w:r w:rsidR="005870D5">
              <w:rPr>
                <w:rFonts w:ascii="Arial" w:hAnsi="Arial" w:cs="Arial"/>
                <w:sz w:val="18"/>
                <w:szCs w:val="18"/>
              </w:rPr>
              <w:t>1</w:t>
            </w:r>
            <w:r w:rsidR="000B0F9C">
              <w:rPr>
                <w:rFonts w:ascii="Arial" w:hAnsi="Arial" w:cs="Arial"/>
                <w:sz w:val="18"/>
                <w:szCs w:val="18"/>
              </w:rPr>
              <w:t>95</w:t>
            </w:r>
            <w:r w:rsidRPr="004F4C84">
              <w:rPr>
                <w:rFonts w:ascii="Arial" w:hAnsi="Arial" w:cs="Arial"/>
                <w:sz w:val="18"/>
                <w:szCs w:val="18"/>
              </w:rPr>
              <w:t>M</w:t>
            </w:r>
          </w:p>
        </w:tc>
        <w:tc>
          <w:tcPr>
            <w:tcW w:w="1485" w:type="dxa"/>
            <w:vAlign w:val="center"/>
          </w:tcPr>
          <w:p w14:paraId="7EC4F086" w14:textId="07145BF3" w:rsidR="00BE7E59" w:rsidRPr="0024661E" w:rsidRDefault="000B0F9C"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Cs/>
                <w:sz w:val="18"/>
                <w:szCs w:val="18"/>
              </w:rPr>
              <w:t>+1.1</w:t>
            </w:r>
            <w:r w:rsidR="00BE7E59" w:rsidRPr="0071281D">
              <w:rPr>
                <w:rFonts w:ascii="Arial" w:hAnsi="Arial" w:cs="Arial"/>
                <w:bCs/>
                <w:sz w:val="18"/>
                <w:szCs w:val="18"/>
              </w:rPr>
              <w:t>%</w:t>
            </w:r>
          </w:p>
        </w:tc>
        <w:tc>
          <w:tcPr>
            <w:tcW w:w="1485" w:type="dxa"/>
            <w:tcBorders>
              <w:right w:val="single" w:sz="4" w:space="0" w:color="31849B" w:themeColor="accent5" w:themeShade="BF"/>
            </w:tcBorders>
            <w:vAlign w:val="center"/>
          </w:tcPr>
          <w:p w14:paraId="644C331F" w14:textId="353AC261" w:rsidR="00BE7E59" w:rsidRPr="0024661E" w:rsidRDefault="000B0F9C"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Cs/>
                <w:sz w:val="18"/>
                <w:szCs w:val="18"/>
              </w:rPr>
              <w:t>+7.2</w:t>
            </w:r>
            <w:r w:rsidR="00BE7E59" w:rsidRPr="00BC3C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5A522292" w14:textId="6786CBF7"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60E2">
              <w:rPr>
                <w:rFonts w:ascii="Arial" w:hAnsi="Arial" w:cs="Arial"/>
                <w:sz w:val="18"/>
                <w:szCs w:val="18"/>
              </w:rPr>
              <w:t>$</w:t>
            </w:r>
            <w:r w:rsidR="000B0F9C">
              <w:rPr>
                <w:rFonts w:ascii="Arial" w:hAnsi="Arial" w:cs="Arial"/>
                <w:sz w:val="18"/>
                <w:szCs w:val="18"/>
              </w:rPr>
              <w:t>2.4</w:t>
            </w:r>
            <w:r w:rsidRPr="00AD60E2">
              <w:rPr>
                <w:rFonts w:ascii="Arial" w:hAnsi="Arial" w:cs="Arial"/>
                <w:sz w:val="18"/>
                <w:szCs w:val="18"/>
              </w:rPr>
              <w:t>B</w:t>
            </w:r>
          </w:p>
        </w:tc>
        <w:tc>
          <w:tcPr>
            <w:tcW w:w="1485" w:type="dxa"/>
            <w:vAlign w:val="center"/>
          </w:tcPr>
          <w:p w14:paraId="1C0533FA" w14:textId="59AE56FB"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0B0F9C">
              <w:rPr>
                <w:rFonts w:ascii="Arial" w:hAnsi="Arial" w:cs="Arial"/>
                <w:bCs/>
                <w:sz w:val="18"/>
                <w:szCs w:val="18"/>
              </w:rPr>
              <w:t>1.7</w:t>
            </w:r>
            <w:r w:rsidRPr="001C07B2">
              <w:rPr>
                <w:rFonts w:ascii="Arial" w:hAnsi="Arial" w:cs="Arial"/>
                <w:bCs/>
                <w:sz w:val="18"/>
                <w:szCs w:val="18"/>
              </w:rPr>
              <w:t>%</w:t>
            </w:r>
          </w:p>
        </w:tc>
        <w:tc>
          <w:tcPr>
            <w:tcW w:w="1485" w:type="dxa"/>
            <w:vAlign w:val="center"/>
          </w:tcPr>
          <w:p w14:paraId="0EA7B7BE" w14:textId="757D5E7D"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0B0F9C">
              <w:rPr>
                <w:rFonts w:ascii="Arial" w:hAnsi="Arial" w:cs="Arial"/>
                <w:bCs/>
                <w:sz w:val="18"/>
                <w:szCs w:val="18"/>
              </w:rPr>
              <w:t>3.3</w:t>
            </w:r>
            <w:r w:rsidRPr="001C07B2">
              <w:rPr>
                <w:rFonts w:ascii="Arial" w:hAnsi="Arial" w:cs="Arial"/>
                <w:bCs/>
                <w:sz w:val="18"/>
                <w:szCs w:val="18"/>
              </w:rPr>
              <w:t>%</w:t>
            </w:r>
          </w:p>
        </w:tc>
      </w:tr>
      <w:tr w:rsidR="00BE7E59" w:rsidRPr="00AD60E2" w14:paraId="0A870DB6" w14:textId="77777777" w:rsidTr="006B7E05">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BE7E59" w:rsidRPr="00AD60E2" w:rsidRDefault="006B7E05" w:rsidP="00BE7E59">
            <w:pPr>
              <w:pStyle w:val="NoSpacing"/>
              <w:rPr>
                <w:rFonts w:ascii="Arial" w:hAnsi="Arial" w:cs="Arial"/>
                <w:b w:val="0"/>
                <w:bCs w:val="0"/>
                <w:sz w:val="18"/>
                <w:szCs w:val="18"/>
              </w:rPr>
            </w:pPr>
            <w:r>
              <w:rPr>
                <w:rFonts w:ascii="Arial" w:eastAsia="Times New Roman" w:hAnsi="Arial" w:cs="Arial"/>
                <w:b w:val="0"/>
                <w:sz w:val="18"/>
                <w:szCs w:val="18"/>
              </w:rPr>
              <w:t>Ambient salmon</w:t>
            </w:r>
          </w:p>
        </w:tc>
        <w:tc>
          <w:tcPr>
            <w:tcW w:w="1485" w:type="dxa"/>
            <w:vAlign w:val="center"/>
          </w:tcPr>
          <w:p w14:paraId="2A2643AA" w14:textId="16DE05D6" w:rsidR="00BE7E59" w:rsidRPr="0024661E"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4C84">
              <w:rPr>
                <w:rFonts w:ascii="Arial" w:hAnsi="Arial" w:cs="Arial"/>
                <w:sz w:val="18"/>
                <w:szCs w:val="18"/>
              </w:rPr>
              <w:t>$</w:t>
            </w:r>
            <w:r w:rsidR="00685A53">
              <w:rPr>
                <w:rFonts w:ascii="Arial" w:hAnsi="Arial" w:cs="Arial"/>
                <w:sz w:val="18"/>
                <w:szCs w:val="18"/>
              </w:rPr>
              <w:t>24</w:t>
            </w:r>
            <w:r w:rsidRPr="004F4C84">
              <w:rPr>
                <w:rFonts w:ascii="Arial" w:hAnsi="Arial" w:cs="Arial"/>
                <w:sz w:val="18"/>
                <w:szCs w:val="18"/>
              </w:rPr>
              <w:t>M</w:t>
            </w:r>
          </w:p>
        </w:tc>
        <w:tc>
          <w:tcPr>
            <w:tcW w:w="1485" w:type="dxa"/>
            <w:vAlign w:val="center"/>
          </w:tcPr>
          <w:p w14:paraId="18FEA342" w14:textId="3E9836AB" w:rsidR="00BE7E59" w:rsidRPr="0024661E"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+5.7</w:t>
            </w:r>
            <w:r w:rsidR="00BE7E59" w:rsidRPr="0071281D">
              <w:rPr>
                <w:rFonts w:ascii="Arial" w:hAnsi="Arial" w:cs="Arial"/>
                <w:bCs/>
                <w:sz w:val="18"/>
                <w:szCs w:val="18"/>
              </w:rPr>
              <w:t>%</w:t>
            </w:r>
          </w:p>
        </w:tc>
        <w:tc>
          <w:tcPr>
            <w:tcW w:w="1485" w:type="dxa"/>
            <w:tcBorders>
              <w:right w:val="single" w:sz="4" w:space="0" w:color="31849B" w:themeColor="accent5" w:themeShade="BF"/>
            </w:tcBorders>
            <w:vAlign w:val="center"/>
          </w:tcPr>
          <w:p w14:paraId="7BC9CDED" w14:textId="108BFCFE" w:rsidR="00BE7E59" w:rsidRPr="0024661E"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+1.9</w:t>
            </w:r>
            <w:r w:rsidR="00BE7E59" w:rsidRPr="00BC3C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07EDEAB9" w14:textId="64529E73" w:rsidR="00BE7E59" w:rsidRPr="00AD60E2"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sidR="006B7E05">
              <w:rPr>
                <w:rFonts w:ascii="Arial" w:hAnsi="Arial" w:cs="Arial"/>
                <w:sz w:val="18"/>
                <w:szCs w:val="18"/>
              </w:rPr>
              <w:t>28</w:t>
            </w:r>
            <w:r w:rsidR="000B0F9C">
              <w:rPr>
                <w:rFonts w:ascii="Arial" w:hAnsi="Arial" w:cs="Arial"/>
                <w:sz w:val="18"/>
                <w:szCs w:val="18"/>
              </w:rPr>
              <w:t>6</w:t>
            </w:r>
            <w:r w:rsidRPr="00C706C3">
              <w:rPr>
                <w:rFonts w:ascii="Arial" w:hAnsi="Arial" w:cs="Arial"/>
                <w:sz w:val="18"/>
                <w:szCs w:val="18"/>
              </w:rPr>
              <w:t>M</w:t>
            </w:r>
          </w:p>
        </w:tc>
        <w:tc>
          <w:tcPr>
            <w:tcW w:w="1485" w:type="dxa"/>
            <w:vAlign w:val="center"/>
          </w:tcPr>
          <w:p w14:paraId="4D5264CB" w14:textId="30FDA203" w:rsidR="00BE7E59" w:rsidRPr="00AD60E2"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0B0F9C">
              <w:rPr>
                <w:rFonts w:ascii="Arial" w:hAnsi="Arial" w:cs="Arial"/>
                <w:bCs/>
                <w:sz w:val="18"/>
                <w:szCs w:val="18"/>
              </w:rPr>
              <w:t>0.1</w:t>
            </w:r>
            <w:r w:rsidRPr="001C07B2">
              <w:rPr>
                <w:rFonts w:ascii="Arial" w:hAnsi="Arial" w:cs="Arial"/>
                <w:bCs/>
                <w:sz w:val="18"/>
                <w:szCs w:val="18"/>
              </w:rPr>
              <w:t>%</w:t>
            </w:r>
          </w:p>
        </w:tc>
        <w:tc>
          <w:tcPr>
            <w:tcW w:w="1485" w:type="dxa"/>
            <w:vAlign w:val="center"/>
          </w:tcPr>
          <w:p w14:paraId="6CF19251" w14:textId="7CEBD710" w:rsidR="00BE7E59" w:rsidRPr="00AD60E2"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6B7E05">
              <w:rPr>
                <w:rFonts w:ascii="Arial" w:hAnsi="Arial" w:cs="Arial"/>
                <w:bCs/>
                <w:sz w:val="18"/>
                <w:szCs w:val="18"/>
              </w:rPr>
              <w:t>0.</w:t>
            </w:r>
            <w:r w:rsidR="000B0F9C">
              <w:rPr>
                <w:rFonts w:ascii="Arial" w:hAnsi="Arial" w:cs="Arial"/>
                <w:bCs/>
                <w:sz w:val="18"/>
                <w:szCs w:val="18"/>
              </w:rPr>
              <w:t>0</w:t>
            </w:r>
            <w:r w:rsidRPr="001C07B2">
              <w:rPr>
                <w:rFonts w:ascii="Arial" w:hAnsi="Arial" w:cs="Arial"/>
                <w:bCs/>
                <w:sz w:val="18"/>
                <w:szCs w:val="18"/>
              </w:rPr>
              <w:t>%</w:t>
            </w:r>
          </w:p>
        </w:tc>
      </w:tr>
      <w:tr w:rsidR="00BE7E59" w:rsidRPr="00AD60E2" w14:paraId="5AF23BD7" w14:textId="77777777" w:rsidTr="006B7E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ACF9359" w14:textId="0715033A" w:rsidR="00BE7E59" w:rsidRPr="00AD60E2" w:rsidRDefault="006B7E05" w:rsidP="00BE7E59">
            <w:pPr>
              <w:pStyle w:val="NoSpacing"/>
              <w:rPr>
                <w:rFonts w:ascii="Arial" w:hAnsi="Arial" w:cs="Arial"/>
                <w:b w:val="0"/>
                <w:bCs w:val="0"/>
                <w:sz w:val="18"/>
                <w:szCs w:val="18"/>
              </w:rPr>
            </w:pPr>
            <w:r>
              <w:rPr>
                <w:rFonts w:ascii="Arial" w:eastAsia="Times New Roman" w:hAnsi="Arial" w:cs="Arial"/>
                <w:b w:val="0"/>
                <w:sz w:val="18"/>
                <w:szCs w:val="18"/>
              </w:rPr>
              <w:t>Ambient sardines</w:t>
            </w:r>
          </w:p>
        </w:tc>
        <w:tc>
          <w:tcPr>
            <w:tcW w:w="1485" w:type="dxa"/>
            <w:vAlign w:val="center"/>
          </w:tcPr>
          <w:p w14:paraId="28547083" w14:textId="11AAEE76" w:rsidR="00BE7E59" w:rsidRPr="0024661E"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C84">
              <w:rPr>
                <w:rFonts w:ascii="Arial" w:hAnsi="Arial" w:cs="Arial"/>
                <w:sz w:val="18"/>
                <w:szCs w:val="18"/>
              </w:rPr>
              <w:t>$</w:t>
            </w:r>
            <w:r w:rsidR="000B0F9C">
              <w:rPr>
                <w:rFonts w:ascii="Arial" w:hAnsi="Arial" w:cs="Arial"/>
                <w:sz w:val="18"/>
                <w:szCs w:val="18"/>
              </w:rPr>
              <w:t>31</w:t>
            </w:r>
            <w:r w:rsidRPr="004F4C84">
              <w:rPr>
                <w:rFonts w:ascii="Arial" w:hAnsi="Arial" w:cs="Arial"/>
                <w:sz w:val="18"/>
                <w:szCs w:val="18"/>
              </w:rPr>
              <w:t>M</w:t>
            </w:r>
          </w:p>
        </w:tc>
        <w:tc>
          <w:tcPr>
            <w:tcW w:w="1485" w:type="dxa"/>
            <w:vAlign w:val="center"/>
          </w:tcPr>
          <w:p w14:paraId="4A6D0763" w14:textId="6C4FB8E7" w:rsidR="00BE7E59" w:rsidRPr="0024661E" w:rsidRDefault="00685A53"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Cs/>
                <w:sz w:val="18"/>
                <w:szCs w:val="18"/>
              </w:rPr>
              <w:t>+</w:t>
            </w:r>
            <w:r w:rsidR="000B0F9C">
              <w:rPr>
                <w:rFonts w:ascii="Arial" w:hAnsi="Arial" w:cs="Arial"/>
                <w:bCs/>
                <w:sz w:val="18"/>
                <w:szCs w:val="18"/>
              </w:rPr>
              <w:t>43.1</w:t>
            </w:r>
            <w:r w:rsidR="00BE7E59" w:rsidRPr="0071281D">
              <w:rPr>
                <w:rFonts w:ascii="Arial" w:hAnsi="Arial" w:cs="Arial"/>
                <w:bCs/>
                <w:sz w:val="18"/>
                <w:szCs w:val="18"/>
              </w:rPr>
              <w:t>%</w:t>
            </w:r>
          </w:p>
        </w:tc>
        <w:tc>
          <w:tcPr>
            <w:tcW w:w="1485" w:type="dxa"/>
            <w:tcBorders>
              <w:right w:val="single" w:sz="4" w:space="0" w:color="31849B" w:themeColor="accent5" w:themeShade="BF"/>
            </w:tcBorders>
            <w:vAlign w:val="center"/>
          </w:tcPr>
          <w:p w14:paraId="53C14AD6" w14:textId="71243C3A" w:rsidR="00BE7E59" w:rsidRPr="0024661E" w:rsidRDefault="00685A53"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Cs/>
                <w:sz w:val="18"/>
                <w:szCs w:val="18"/>
              </w:rPr>
              <w:t>+</w:t>
            </w:r>
            <w:r w:rsidR="000B0F9C">
              <w:rPr>
                <w:rFonts w:ascii="Arial" w:hAnsi="Arial" w:cs="Arial"/>
                <w:bCs/>
                <w:sz w:val="18"/>
                <w:szCs w:val="18"/>
              </w:rPr>
              <w:t>50.9</w:t>
            </w:r>
            <w:r w:rsidR="00BE7E59" w:rsidRPr="00BC3C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3960E6D5" w14:textId="47B6D6DE"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sidR="000B0F9C">
              <w:rPr>
                <w:rFonts w:ascii="Arial" w:hAnsi="Arial" w:cs="Arial"/>
                <w:sz w:val="18"/>
                <w:szCs w:val="18"/>
              </w:rPr>
              <w:t>301</w:t>
            </w:r>
            <w:r w:rsidRPr="00C706C3">
              <w:rPr>
                <w:rFonts w:ascii="Arial" w:hAnsi="Arial" w:cs="Arial"/>
                <w:sz w:val="18"/>
                <w:szCs w:val="18"/>
              </w:rPr>
              <w:t>M</w:t>
            </w:r>
          </w:p>
        </w:tc>
        <w:tc>
          <w:tcPr>
            <w:tcW w:w="1485" w:type="dxa"/>
            <w:vAlign w:val="center"/>
          </w:tcPr>
          <w:p w14:paraId="55845338" w14:textId="63A50BEA"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0B0F9C">
              <w:rPr>
                <w:rFonts w:ascii="Arial" w:hAnsi="Arial" w:cs="Arial"/>
                <w:bCs/>
                <w:sz w:val="18"/>
                <w:szCs w:val="18"/>
              </w:rPr>
              <w:t>9.9</w:t>
            </w:r>
            <w:r w:rsidRPr="001C07B2">
              <w:rPr>
                <w:rFonts w:ascii="Arial" w:hAnsi="Arial" w:cs="Arial"/>
                <w:bCs/>
                <w:sz w:val="18"/>
                <w:szCs w:val="18"/>
              </w:rPr>
              <w:t>%</w:t>
            </w:r>
          </w:p>
        </w:tc>
        <w:tc>
          <w:tcPr>
            <w:tcW w:w="1485" w:type="dxa"/>
            <w:vAlign w:val="center"/>
          </w:tcPr>
          <w:p w14:paraId="50795D04" w14:textId="0DD0170A" w:rsidR="00BE7E59" w:rsidRPr="00AD60E2" w:rsidRDefault="00BE7E59" w:rsidP="006B7E0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0B0F9C">
              <w:rPr>
                <w:rFonts w:ascii="Arial" w:hAnsi="Arial" w:cs="Arial"/>
                <w:bCs/>
                <w:sz w:val="18"/>
                <w:szCs w:val="18"/>
              </w:rPr>
              <w:t>5.2</w:t>
            </w:r>
            <w:r w:rsidRPr="001C07B2">
              <w:rPr>
                <w:rFonts w:ascii="Arial" w:hAnsi="Arial" w:cs="Arial"/>
                <w:bCs/>
                <w:sz w:val="18"/>
                <w:szCs w:val="18"/>
              </w:rPr>
              <w:t>%</w:t>
            </w:r>
          </w:p>
        </w:tc>
      </w:tr>
      <w:tr w:rsidR="00BE7E59" w:rsidRPr="00AD60E2" w14:paraId="0DCD14DB" w14:textId="77777777" w:rsidTr="006B7E05">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BE7E59" w:rsidRPr="00AD60E2" w:rsidRDefault="00BE7E59" w:rsidP="00BE7E59">
            <w:pPr>
              <w:pStyle w:val="NoSpacing"/>
              <w:rPr>
                <w:rFonts w:ascii="Arial" w:hAnsi="Arial" w:cs="Arial"/>
                <w:b w:val="0"/>
                <w:bCs w:val="0"/>
                <w:sz w:val="18"/>
                <w:szCs w:val="18"/>
              </w:rPr>
            </w:pPr>
            <w:r>
              <w:rPr>
                <w:rFonts w:ascii="Arial" w:eastAsia="Times New Roman" w:hAnsi="Arial" w:cs="Arial"/>
                <w:b w:val="0"/>
                <w:bCs w:val="0"/>
                <w:sz w:val="18"/>
                <w:szCs w:val="18"/>
              </w:rPr>
              <w:t>Ambient all other</w:t>
            </w:r>
          </w:p>
        </w:tc>
        <w:tc>
          <w:tcPr>
            <w:tcW w:w="1485" w:type="dxa"/>
            <w:vAlign w:val="center"/>
          </w:tcPr>
          <w:p w14:paraId="6F3E0385" w14:textId="42EDE0DB" w:rsidR="00BE7E59" w:rsidRPr="0024661E"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4C84">
              <w:rPr>
                <w:rFonts w:ascii="Arial" w:hAnsi="Arial" w:cs="Arial"/>
                <w:sz w:val="18"/>
                <w:szCs w:val="18"/>
              </w:rPr>
              <w:t>$</w:t>
            </w:r>
            <w:r w:rsidR="000B0F9C">
              <w:rPr>
                <w:rFonts w:ascii="Arial" w:hAnsi="Arial" w:cs="Arial"/>
                <w:sz w:val="18"/>
                <w:szCs w:val="18"/>
              </w:rPr>
              <w:t>21</w:t>
            </w:r>
            <w:r w:rsidRPr="004F4C84">
              <w:rPr>
                <w:rFonts w:ascii="Arial" w:hAnsi="Arial" w:cs="Arial"/>
                <w:sz w:val="18"/>
                <w:szCs w:val="18"/>
              </w:rPr>
              <w:t>M</w:t>
            </w:r>
          </w:p>
        </w:tc>
        <w:tc>
          <w:tcPr>
            <w:tcW w:w="1485" w:type="dxa"/>
            <w:vAlign w:val="center"/>
          </w:tcPr>
          <w:p w14:paraId="3919FBA1" w14:textId="5A4B21D5" w:rsidR="00BE7E59" w:rsidRPr="0024661E"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281D">
              <w:rPr>
                <w:rFonts w:ascii="Arial" w:hAnsi="Arial" w:cs="Arial"/>
                <w:bCs/>
                <w:sz w:val="18"/>
                <w:szCs w:val="18"/>
              </w:rPr>
              <w:t>-</w:t>
            </w:r>
            <w:r w:rsidR="000B0F9C">
              <w:rPr>
                <w:rFonts w:ascii="Arial" w:hAnsi="Arial" w:cs="Arial"/>
                <w:bCs/>
                <w:sz w:val="18"/>
                <w:szCs w:val="18"/>
              </w:rPr>
              <w:t>5.4</w:t>
            </w:r>
            <w:r w:rsidRPr="0071281D">
              <w:rPr>
                <w:rFonts w:ascii="Arial" w:hAnsi="Arial" w:cs="Arial"/>
                <w:bCs/>
                <w:sz w:val="18"/>
                <w:szCs w:val="18"/>
              </w:rPr>
              <w:t>%</w:t>
            </w:r>
          </w:p>
        </w:tc>
        <w:tc>
          <w:tcPr>
            <w:tcW w:w="1485" w:type="dxa"/>
            <w:tcBorders>
              <w:right w:val="single" w:sz="4" w:space="0" w:color="31849B" w:themeColor="accent5" w:themeShade="BF"/>
            </w:tcBorders>
            <w:vAlign w:val="center"/>
          </w:tcPr>
          <w:p w14:paraId="34D72223" w14:textId="5AE7EB23" w:rsidR="00BE7E59" w:rsidRPr="0024661E"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w:t>
            </w:r>
            <w:r w:rsidR="006B7E05">
              <w:rPr>
                <w:rFonts w:ascii="Arial" w:hAnsi="Arial" w:cs="Arial"/>
                <w:bCs/>
                <w:sz w:val="18"/>
                <w:szCs w:val="18"/>
              </w:rPr>
              <w:t>0.</w:t>
            </w:r>
            <w:r>
              <w:rPr>
                <w:rFonts w:ascii="Arial" w:hAnsi="Arial" w:cs="Arial"/>
                <w:bCs/>
                <w:sz w:val="18"/>
                <w:szCs w:val="18"/>
              </w:rPr>
              <w:t>9</w:t>
            </w:r>
            <w:r w:rsidR="00BE7E59" w:rsidRPr="00BC3C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3C45599A" w14:textId="02358291" w:rsidR="00BE7E59" w:rsidRPr="00AD60E2"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sidR="000B0F9C">
              <w:rPr>
                <w:rFonts w:ascii="Arial" w:hAnsi="Arial" w:cs="Arial"/>
                <w:sz w:val="18"/>
                <w:szCs w:val="18"/>
              </w:rPr>
              <w:t>267</w:t>
            </w:r>
            <w:r w:rsidRPr="00C706C3">
              <w:rPr>
                <w:rFonts w:ascii="Arial" w:hAnsi="Arial" w:cs="Arial"/>
                <w:sz w:val="18"/>
                <w:szCs w:val="18"/>
              </w:rPr>
              <w:t>M</w:t>
            </w:r>
          </w:p>
        </w:tc>
        <w:tc>
          <w:tcPr>
            <w:tcW w:w="1485" w:type="dxa"/>
            <w:vAlign w:val="center"/>
          </w:tcPr>
          <w:p w14:paraId="4B8B4E53" w14:textId="4E7B2B1E" w:rsidR="00BE7E59" w:rsidRPr="00AD60E2" w:rsidRDefault="006B7E05"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-5.</w:t>
            </w:r>
            <w:r w:rsidR="000B0F9C">
              <w:rPr>
                <w:rFonts w:ascii="Arial" w:hAnsi="Arial" w:cs="Arial"/>
                <w:bCs/>
                <w:sz w:val="18"/>
                <w:szCs w:val="18"/>
              </w:rPr>
              <w:t>5</w:t>
            </w:r>
            <w:r w:rsidR="00BE7E59" w:rsidRPr="001C07B2">
              <w:rPr>
                <w:rFonts w:ascii="Arial" w:hAnsi="Arial" w:cs="Arial"/>
                <w:bCs/>
                <w:sz w:val="18"/>
                <w:szCs w:val="18"/>
              </w:rPr>
              <w:t>%</w:t>
            </w:r>
          </w:p>
        </w:tc>
        <w:tc>
          <w:tcPr>
            <w:tcW w:w="1485" w:type="dxa"/>
            <w:vAlign w:val="center"/>
          </w:tcPr>
          <w:p w14:paraId="3A4896C7" w14:textId="25FCBF34" w:rsidR="00BE7E59" w:rsidRPr="00AD60E2"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6B7E05">
              <w:rPr>
                <w:rFonts w:ascii="Arial" w:hAnsi="Arial" w:cs="Arial"/>
                <w:bCs/>
                <w:sz w:val="18"/>
                <w:szCs w:val="18"/>
              </w:rPr>
              <w:t>1.</w:t>
            </w:r>
            <w:r w:rsidR="000B0F9C">
              <w:rPr>
                <w:rFonts w:ascii="Arial" w:hAnsi="Arial" w:cs="Arial"/>
                <w:bCs/>
                <w:sz w:val="18"/>
                <w:szCs w:val="18"/>
              </w:rPr>
              <w:t>6</w:t>
            </w:r>
            <w:r w:rsidRPr="001C07B2">
              <w:rPr>
                <w:rFonts w:ascii="Arial" w:hAnsi="Arial" w:cs="Arial"/>
                <w:bCs/>
                <w:sz w:val="18"/>
                <w:szCs w:val="18"/>
              </w:rPr>
              <w:t>%</w:t>
            </w:r>
          </w:p>
        </w:tc>
      </w:tr>
    </w:tbl>
    <w:p w14:paraId="16EE0890" w14:textId="77777777" w:rsidR="00F15260" w:rsidRPr="00AD60E2" w:rsidRDefault="00F15260" w:rsidP="00AD60E2">
      <w:pPr>
        <w:pStyle w:val="NoSpacing"/>
        <w:rPr>
          <w:rFonts w:ascii="Arial" w:hAnsi="Arial" w:cs="Arial"/>
          <w:sz w:val="4"/>
          <w:szCs w:val="4"/>
        </w:rPr>
      </w:pPr>
    </w:p>
    <w:p w14:paraId="45F75BE3" w14:textId="104688C7" w:rsidR="00F15260" w:rsidRDefault="00F15260" w:rsidP="00AD60E2">
      <w:pPr>
        <w:pStyle w:val="NoSpacing"/>
        <w:rPr>
          <w:rFonts w:ascii="Arial" w:hAnsi="Arial" w:cs="Arial"/>
          <w:color w:val="7F7F7F" w:themeColor="text1" w:themeTint="80"/>
          <w:sz w:val="16"/>
          <w:szCs w:val="16"/>
        </w:rPr>
      </w:pPr>
      <w:r w:rsidRPr="00AD60E2">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p>
    <w:p w14:paraId="1AD2291A" w14:textId="77777777" w:rsidR="00E55DC9" w:rsidRPr="00E61F90" w:rsidRDefault="00E55DC9" w:rsidP="00AD60E2">
      <w:pPr>
        <w:pStyle w:val="NoSpacing"/>
        <w:rPr>
          <w:rFonts w:ascii="Arial" w:hAnsi="Arial" w:cs="Arial"/>
          <w:color w:val="7F7F7F" w:themeColor="text1" w:themeTint="80"/>
          <w:sz w:val="16"/>
          <w:szCs w:val="16"/>
        </w:rPr>
      </w:pPr>
    </w:p>
    <w:p w14:paraId="78020F43" w14:textId="0FAEA0A4"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shd w:val="clear" w:color="auto" w:fill="auto"/>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shd w:val="clear" w:color="auto" w:fill="auto"/>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shd w:val="clear" w:color="auto" w:fill="auto"/>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shd w:val="clear" w:color="auto" w:fill="auto"/>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shd w:val="clear" w:color="auto" w:fill="auto"/>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shd w:val="clear" w:color="auto" w:fill="auto"/>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shd w:val="clear" w:color="auto" w:fill="auto"/>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shd w:val="clear" w:color="auto" w:fill="auto"/>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shd w:val="clear" w:color="auto" w:fill="auto"/>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shd w:val="clear" w:color="auto" w:fill="auto"/>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shd w:val="clear" w:color="auto" w:fill="auto"/>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shd w:val="clear" w:color="auto" w:fill="auto"/>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shd w:val="clear" w:color="auto" w:fill="auto"/>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shd w:val="clear" w:color="auto" w:fill="auto"/>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shd w:val="clear" w:color="auto" w:fill="auto"/>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shd w:val="clear" w:color="auto" w:fill="auto"/>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shd w:val="clear" w:color="auto" w:fill="auto"/>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shd w:val="clear" w:color="auto" w:fill="auto"/>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shd w:val="clear" w:color="auto" w:fill="auto"/>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shd w:val="clear" w:color="auto" w:fill="auto"/>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7E58A7E4" w:rsidR="001445C0" w:rsidRDefault="00E55DC9"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Fresh/refrigerated seafood sales were also heavily impact by the later start to Lent</w:t>
      </w:r>
      <w:r w:rsidR="00A856F4">
        <w:rPr>
          <w:rFonts w:ascii="Arial" w:hAnsi="Arial" w:cs="Arial"/>
          <w:bCs/>
          <w:color w:val="000000" w:themeColor="text1"/>
          <w:sz w:val="20"/>
          <w:szCs w:val="16"/>
        </w:rPr>
        <w:t xml:space="preserve"> and Easter</w:t>
      </w:r>
      <w:r w:rsidR="00293CE8">
        <w:rPr>
          <w:rFonts w:ascii="Arial" w:hAnsi="Arial" w:cs="Arial"/>
          <w:bCs/>
          <w:color w:val="000000" w:themeColor="text1"/>
          <w:sz w:val="20"/>
          <w:szCs w:val="16"/>
        </w:rPr>
        <w:t>.</w:t>
      </w:r>
      <w:r>
        <w:rPr>
          <w:rFonts w:ascii="Arial" w:hAnsi="Arial" w:cs="Arial"/>
          <w:bCs/>
          <w:color w:val="000000" w:themeColor="text1"/>
          <w:sz w:val="20"/>
          <w:szCs w:val="16"/>
        </w:rPr>
        <w:t xml:space="preserve"> Total fresh seafood sales during the four </w:t>
      </w:r>
      <w:r w:rsidR="002124AA">
        <w:rPr>
          <w:rFonts w:ascii="Arial" w:hAnsi="Arial" w:cs="Arial"/>
          <w:bCs/>
          <w:color w:val="000000" w:themeColor="text1"/>
          <w:sz w:val="20"/>
          <w:szCs w:val="16"/>
        </w:rPr>
        <w:t xml:space="preserve">March </w:t>
      </w:r>
      <w:r>
        <w:rPr>
          <w:rFonts w:ascii="Arial" w:hAnsi="Arial" w:cs="Arial"/>
          <w:bCs/>
          <w:color w:val="000000" w:themeColor="text1"/>
          <w:sz w:val="20"/>
          <w:szCs w:val="16"/>
        </w:rPr>
        <w:t xml:space="preserve">weeks were </w:t>
      </w:r>
      <w:r w:rsidR="002124AA">
        <w:rPr>
          <w:rFonts w:ascii="Arial" w:hAnsi="Arial" w:cs="Arial"/>
          <w:bCs/>
          <w:color w:val="000000" w:themeColor="text1"/>
          <w:sz w:val="20"/>
          <w:szCs w:val="16"/>
        </w:rPr>
        <w:t>up 1.9</w:t>
      </w:r>
      <w:r>
        <w:rPr>
          <w:rFonts w:ascii="Arial" w:hAnsi="Arial" w:cs="Arial"/>
          <w:bCs/>
          <w:color w:val="000000" w:themeColor="text1"/>
          <w:sz w:val="20"/>
          <w:szCs w:val="16"/>
        </w:rPr>
        <w:t xml:space="preserve">%, </w:t>
      </w:r>
      <w:r w:rsidR="002124AA">
        <w:rPr>
          <w:rFonts w:ascii="Arial" w:hAnsi="Arial" w:cs="Arial"/>
          <w:bCs/>
          <w:color w:val="000000" w:themeColor="text1"/>
          <w:sz w:val="20"/>
          <w:szCs w:val="16"/>
        </w:rPr>
        <w:t>while department sales decreased by about 1% in the full year.</w:t>
      </w:r>
      <w:r>
        <w:rPr>
          <w:rFonts w:ascii="Arial" w:hAnsi="Arial" w:cs="Arial"/>
          <w:bCs/>
          <w:color w:val="000000" w:themeColor="text1"/>
          <w:sz w:val="20"/>
          <w:szCs w:val="16"/>
        </w:rPr>
        <w:t xml:space="preserve"> Fresh finfish had the best performance, </w:t>
      </w:r>
      <w:r w:rsidR="002124AA">
        <w:rPr>
          <w:rFonts w:ascii="Arial" w:hAnsi="Arial" w:cs="Arial"/>
          <w:bCs/>
          <w:color w:val="000000" w:themeColor="text1"/>
          <w:sz w:val="20"/>
          <w:szCs w:val="16"/>
        </w:rPr>
        <w:t>with sales pulling into positive territory in the full-year view</w:t>
      </w:r>
      <w:r>
        <w:rPr>
          <w:rFonts w:ascii="Arial" w:hAnsi="Arial" w:cs="Arial"/>
          <w:bCs/>
          <w:color w:val="000000" w:themeColor="text1"/>
          <w:sz w:val="20"/>
          <w:szCs w:val="16"/>
        </w:rPr>
        <w:t xml:space="preserve">. </w:t>
      </w:r>
      <w:r w:rsidR="00293CE8">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7CB1CCE3"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A80540" w:rsidRDefault="00507B1A"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E55DC9" w:rsidRPr="00F15260" w14:paraId="544E1763" w14:textId="77777777" w:rsidTr="00C853F3">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E55DC9" w:rsidRPr="00A856F4" w:rsidRDefault="00E55DC9" w:rsidP="00E55DC9">
            <w:pPr>
              <w:pStyle w:val="NoSpacing"/>
              <w:rPr>
                <w:rFonts w:ascii="Arial" w:hAnsi="Arial" w:cs="Arial"/>
                <w:color w:val="000000" w:themeColor="text1"/>
                <w:sz w:val="18"/>
                <w:szCs w:val="18"/>
              </w:rPr>
            </w:pPr>
            <w:r w:rsidRPr="00A856F4">
              <w:rPr>
                <w:rFonts w:ascii="Arial" w:eastAsia="Times New Roman" w:hAnsi="Arial" w:cs="Arial"/>
                <w:color w:val="000000" w:themeColor="text1"/>
                <w:sz w:val="18"/>
                <w:szCs w:val="18"/>
              </w:rPr>
              <w:t>Total fresh seafood</w:t>
            </w:r>
          </w:p>
        </w:tc>
        <w:tc>
          <w:tcPr>
            <w:tcW w:w="1305" w:type="dxa"/>
          </w:tcPr>
          <w:p w14:paraId="008C175F" w14:textId="58FCDBFC"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$6</w:t>
            </w:r>
            <w:r w:rsidR="00D0653E">
              <w:rPr>
                <w:rFonts w:ascii="Arial" w:hAnsi="Arial" w:cs="Arial"/>
                <w:b/>
                <w:bCs/>
                <w:color w:val="000000" w:themeColor="text1"/>
                <w:sz w:val="18"/>
                <w:szCs w:val="18"/>
              </w:rPr>
              <w:t>79</w:t>
            </w:r>
            <w:r w:rsidRPr="00A856F4">
              <w:rPr>
                <w:rFonts w:ascii="Arial" w:hAnsi="Arial" w:cs="Arial"/>
                <w:b/>
                <w:bCs/>
                <w:color w:val="000000" w:themeColor="text1"/>
                <w:sz w:val="18"/>
                <w:szCs w:val="18"/>
              </w:rPr>
              <w:t>M</w:t>
            </w:r>
          </w:p>
        </w:tc>
        <w:tc>
          <w:tcPr>
            <w:tcW w:w="1485" w:type="dxa"/>
          </w:tcPr>
          <w:p w14:paraId="19694FA3" w14:textId="0FCA71BF" w:rsidR="00E55DC9" w:rsidRPr="00A856F4"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+1.9</w:t>
            </w:r>
            <w:r w:rsidR="00E55DC9" w:rsidRPr="00A856F4">
              <w:rPr>
                <w:rFonts w:ascii="Arial" w:hAnsi="Arial" w:cs="Arial"/>
                <w:b/>
                <w:bCs/>
                <w:color w:val="000000" w:themeColor="text1"/>
                <w:sz w:val="18"/>
                <w:szCs w:val="18"/>
              </w:rPr>
              <w:t>%</w:t>
            </w:r>
          </w:p>
        </w:tc>
        <w:tc>
          <w:tcPr>
            <w:tcW w:w="1485" w:type="dxa"/>
            <w:gridSpan w:val="2"/>
            <w:tcBorders>
              <w:right w:val="single" w:sz="4" w:space="0" w:color="17365D" w:themeColor="text2" w:themeShade="BF"/>
            </w:tcBorders>
          </w:tcPr>
          <w:p w14:paraId="7820D590" w14:textId="1DA387B9" w:rsidR="00E55DC9" w:rsidRPr="00A856F4"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+1.4</w:t>
            </w:r>
            <w:r w:rsidR="00E55DC9" w:rsidRPr="00A856F4">
              <w:rPr>
                <w:rFonts w:ascii="Arial" w:hAnsi="Arial" w:cs="Arial"/>
                <w:b/>
                <w:bCs/>
                <w:color w:val="000000"/>
                <w:sz w:val="18"/>
                <w:szCs w:val="18"/>
              </w:rPr>
              <w:t>%</w:t>
            </w:r>
          </w:p>
        </w:tc>
        <w:tc>
          <w:tcPr>
            <w:tcW w:w="1305" w:type="dxa"/>
            <w:tcBorders>
              <w:left w:val="single" w:sz="4" w:space="0" w:color="17365D" w:themeColor="text2" w:themeShade="BF"/>
            </w:tcBorders>
            <w:vAlign w:val="center"/>
          </w:tcPr>
          <w:p w14:paraId="1EADE73E" w14:textId="572659E7"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$8.4B</w:t>
            </w:r>
          </w:p>
        </w:tc>
        <w:tc>
          <w:tcPr>
            <w:tcW w:w="1665" w:type="dxa"/>
          </w:tcPr>
          <w:p w14:paraId="108D0361" w14:textId="11C7EF34"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0A3117">
              <w:rPr>
                <w:rFonts w:ascii="Arial" w:hAnsi="Arial" w:cs="Arial"/>
                <w:b/>
                <w:bCs/>
                <w:color w:val="000000" w:themeColor="text1"/>
                <w:sz w:val="18"/>
                <w:szCs w:val="18"/>
              </w:rPr>
              <w:t>1.1</w:t>
            </w:r>
            <w:r w:rsidRPr="00A856F4">
              <w:rPr>
                <w:rFonts w:ascii="Arial" w:hAnsi="Arial" w:cs="Arial"/>
                <w:b/>
                <w:bCs/>
                <w:color w:val="000000" w:themeColor="text1"/>
                <w:sz w:val="18"/>
                <w:szCs w:val="18"/>
              </w:rPr>
              <w:t>%</w:t>
            </w:r>
          </w:p>
        </w:tc>
        <w:tc>
          <w:tcPr>
            <w:tcW w:w="1486" w:type="dxa"/>
          </w:tcPr>
          <w:p w14:paraId="0CC74927" w14:textId="2E78E515"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0A3117">
              <w:rPr>
                <w:rFonts w:ascii="Arial" w:hAnsi="Arial" w:cs="Arial"/>
                <w:b/>
                <w:bCs/>
                <w:color w:val="000000" w:themeColor="text1"/>
                <w:sz w:val="18"/>
                <w:szCs w:val="18"/>
              </w:rPr>
              <w:t>1.9</w:t>
            </w:r>
            <w:r w:rsidRPr="00A856F4">
              <w:rPr>
                <w:rFonts w:ascii="Arial" w:hAnsi="Arial" w:cs="Arial"/>
                <w:b/>
                <w:bCs/>
                <w:color w:val="000000" w:themeColor="text1"/>
                <w:sz w:val="18"/>
                <w:szCs w:val="18"/>
              </w:rPr>
              <w:t>%</w:t>
            </w:r>
          </w:p>
        </w:tc>
      </w:tr>
      <w:tr w:rsidR="00E55DC9" w:rsidRPr="00F15260" w14:paraId="26343E00" w14:textId="77777777" w:rsidTr="00C853F3">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E55DC9" w:rsidRPr="00F15260" w:rsidRDefault="00E55DC9" w:rsidP="00E55DC9">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center"/>
          </w:tcPr>
          <w:p w14:paraId="1245A996" w14:textId="2E3D185A"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4</w:t>
            </w:r>
            <w:r w:rsidR="00D0653E">
              <w:rPr>
                <w:rFonts w:ascii="Arial" w:hAnsi="Arial" w:cs="Arial"/>
                <w:bCs/>
                <w:color w:val="000000" w:themeColor="text1"/>
                <w:sz w:val="18"/>
                <w:szCs w:val="18"/>
              </w:rPr>
              <w:t>78</w:t>
            </w:r>
            <w:r w:rsidRPr="00C84BAA">
              <w:rPr>
                <w:rFonts w:ascii="Arial" w:hAnsi="Arial" w:cs="Arial"/>
                <w:bCs/>
                <w:color w:val="000000" w:themeColor="text1"/>
                <w:sz w:val="18"/>
                <w:szCs w:val="18"/>
              </w:rPr>
              <w:t>M</w:t>
            </w:r>
          </w:p>
        </w:tc>
        <w:tc>
          <w:tcPr>
            <w:tcW w:w="1485" w:type="dxa"/>
            <w:shd w:val="clear" w:color="auto" w:fill="D9D9D9" w:themeFill="background1" w:themeFillShade="D9"/>
          </w:tcPr>
          <w:p w14:paraId="1587A913" w14:textId="1D46080F" w:rsidR="00E55DC9" w:rsidRPr="00C84BAA" w:rsidRDefault="00D0653E"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+5.8</w:t>
            </w:r>
            <w:r w:rsidR="00E55DC9" w:rsidRPr="00D65C0B">
              <w:rPr>
                <w:rFonts w:ascii="Arial" w:hAnsi="Arial" w:cs="Arial"/>
                <w:bCs/>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24A12E8C" w:rsidR="00E55DC9" w:rsidRPr="00C84BAA" w:rsidRDefault="00D0653E"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+7.7</w:t>
            </w:r>
            <w:r w:rsidR="00E55DC9" w:rsidRPr="00D65C0B">
              <w:rPr>
                <w:rFonts w:ascii="Arial" w:hAnsi="Arial" w:cs="Arial"/>
                <w:bCs/>
                <w:color w:val="000000" w:themeColor="text1"/>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66F40F56" w14:textId="223D2A74"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5.</w:t>
            </w:r>
            <w:r w:rsidR="00D0653E">
              <w:rPr>
                <w:rFonts w:ascii="Arial" w:hAnsi="Arial" w:cs="Arial"/>
                <w:bCs/>
                <w:color w:val="000000" w:themeColor="text1"/>
                <w:sz w:val="18"/>
                <w:szCs w:val="18"/>
              </w:rPr>
              <w:t>6</w:t>
            </w:r>
            <w:r w:rsidRPr="00C84BAA">
              <w:rPr>
                <w:rFonts w:ascii="Arial" w:hAnsi="Arial" w:cs="Arial"/>
                <w:bCs/>
                <w:color w:val="000000" w:themeColor="text1"/>
                <w:sz w:val="18"/>
                <w:szCs w:val="18"/>
              </w:rPr>
              <w:t>B</w:t>
            </w:r>
          </w:p>
        </w:tc>
        <w:tc>
          <w:tcPr>
            <w:tcW w:w="1665" w:type="dxa"/>
            <w:shd w:val="clear" w:color="auto" w:fill="D9D9D9" w:themeFill="background1" w:themeFillShade="D9"/>
          </w:tcPr>
          <w:p w14:paraId="3BFD4643" w14:textId="4E1F27BC"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0653E">
              <w:rPr>
                <w:rFonts w:ascii="Arial" w:hAnsi="Arial" w:cs="Arial"/>
                <w:bCs/>
                <w:color w:val="000000" w:themeColor="text1"/>
                <w:sz w:val="18"/>
                <w:szCs w:val="18"/>
              </w:rPr>
              <w:t>1.2</w:t>
            </w:r>
            <w:r w:rsidRPr="00A76BF0">
              <w:rPr>
                <w:rFonts w:ascii="Arial" w:hAnsi="Arial" w:cs="Arial"/>
                <w:bCs/>
                <w:color w:val="000000" w:themeColor="text1"/>
                <w:sz w:val="18"/>
                <w:szCs w:val="18"/>
              </w:rPr>
              <w:t>%</w:t>
            </w:r>
          </w:p>
        </w:tc>
        <w:tc>
          <w:tcPr>
            <w:tcW w:w="1486" w:type="dxa"/>
            <w:shd w:val="clear" w:color="auto" w:fill="D9D9D9" w:themeFill="background1" w:themeFillShade="D9"/>
          </w:tcPr>
          <w:p w14:paraId="7E7D4104" w14:textId="2357B48D"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0653E">
              <w:rPr>
                <w:rFonts w:ascii="Arial" w:hAnsi="Arial" w:cs="Arial"/>
                <w:bCs/>
                <w:color w:val="000000" w:themeColor="text1"/>
                <w:sz w:val="18"/>
                <w:szCs w:val="18"/>
              </w:rPr>
              <w:t>1.5</w:t>
            </w:r>
            <w:r w:rsidRPr="00A76BF0">
              <w:rPr>
                <w:rFonts w:ascii="Arial" w:hAnsi="Arial" w:cs="Arial"/>
                <w:bCs/>
                <w:color w:val="000000" w:themeColor="text1"/>
                <w:sz w:val="18"/>
                <w:szCs w:val="18"/>
              </w:rPr>
              <w:t>%</w:t>
            </w:r>
          </w:p>
        </w:tc>
      </w:tr>
      <w:tr w:rsidR="00E55DC9" w:rsidRPr="00F15260" w14:paraId="009F29AD" w14:textId="77777777" w:rsidTr="00C853F3">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E55DC9" w:rsidRPr="00F15260" w:rsidRDefault="00E55DC9" w:rsidP="00E55DC9">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shellfish</w:t>
            </w:r>
          </w:p>
        </w:tc>
        <w:tc>
          <w:tcPr>
            <w:tcW w:w="1305" w:type="dxa"/>
            <w:vAlign w:val="center"/>
          </w:tcPr>
          <w:p w14:paraId="277CE7F0" w14:textId="7A781399" w:rsidR="00E55DC9" w:rsidRPr="00C84BAA"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sidR="00D0653E">
              <w:rPr>
                <w:rFonts w:ascii="Arial" w:hAnsi="Arial" w:cs="Arial"/>
                <w:bCs/>
                <w:color w:val="000000" w:themeColor="text1"/>
                <w:sz w:val="18"/>
                <w:szCs w:val="18"/>
              </w:rPr>
              <w:t>175</w:t>
            </w:r>
            <w:r w:rsidRPr="00C84BAA">
              <w:rPr>
                <w:rFonts w:ascii="Arial" w:hAnsi="Arial" w:cs="Arial"/>
                <w:bCs/>
                <w:color w:val="000000" w:themeColor="text1"/>
                <w:sz w:val="18"/>
                <w:szCs w:val="18"/>
              </w:rPr>
              <w:t>M</w:t>
            </w:r>
          </w:p>
        </w:tc>
        <w:tc>
          <w:tcPr>
            <w:tcW w:w="1485" w:type="dxa"/>
          </w:tcPr>
          <w:p w14:paraId="7DDAAAA4" w14:textId="0D8F78F3" w:rsidR="00E55DC9" w:rsidRPr="00C84BAA"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-6.7</w:t>
            </w:r>
            <w:r w:rsidR="00E55DC9" w:rsidRPr="00D65C0B">
              <w:rPr>
                <w:rFonts w:ascii="Arial" w:hAnsi="Arial" w:cs="Arial"/>
                <w:bCs/>
                <w:color w:val="000000" w:themeColor="text1"/>
                <w:sz w:val="18"/>
                <w:szCs w:val="18"/>
              </w:rPr>
              <w:t>%</w:t>
            </w:r>
          </w:p>
        </w:tc>
        <w:tc>
          <w:tcPr>
            <w:tcW w:w="1485" w:type="dxa"/>
            <w:gridSpan w:val="2"/>
            <w:tcBorders>
              <w:right w:val="single" w:sz="4" w:space="0" w:color="17365D" w:themeColor="text2" w:themeShade="BF"/>
            </w:tcBorders>
          </w:tcPr>
          <w:p w14:paraId="48D14838" w14:textId="4CA188A5" w:rsidR="00E55DC9" w:rsidRPr="00C84BAA"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5C0B">
              <w:rPr>
                <w:rFonts w:ascii="Arial" w:hAnsi="Arial" w:cs="Arial"/>
                <w:bCs/>
                <w:color w:val="000000" w:themeColor="text1"/>
                <w:sz w:val="18"/>
                <w:szCs w:val="18"/>
              </w:rPr>
              <w:t>-</w:t>
            </w:r>
            <w:r w:rsidR="00D0653E">
              <w:rPr>
                <w:rFonts w:ascii="Arial" w:hAnsi="Arial" w:cs="Arial"/>
                <w:bCs/>
                <w:color w:val="000000" w:themeColor="text1"/>
                <w:sz w:val="18"/>
                <w:szCs w:val="18"/>
              </w:rPr>
              <w:t>9.8</w:t>
            </w:r>
            <w:r w:rsidRPr="00D65C0B">
              <w:rPr>
                <w:rFonts w:ascii="Arial" w:hAnsi="Arial" w:cs="Arial"/>
                <w:bCs/>
                <w:color w:val="000000" w:themeColor="text1"/>
                <w:sz w:val="18"/>
                <w:szCs w:val="18"/>
              </w:rPr>
              <w:t>%</w:t>
            </w:r>
          </w:p>
        </w:tc>
        <w:tc>
          <w:tcPr>
            <w:tcW w:w="1305" w:type="dxa"/>
            <w:tcBorders>
              <w:left w:val="single" w:sz="4" w:space="0" w:color="17365D" w:themeColor="text2" w:themeShade="BF"/>
            </w:tcBorders>
            <w:vAlign w:val="center"/>
          </w:tcPr>
          <w:p w14:paraId="1FCC62E3" w14:textId="36891F40" w:rsidR="00E55DC9" w:rsidRPr="00C84BAA"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2.6</w:t>
            </w:r>
            <w:r w:rsidRPr="00C84BAA">
              <w:rPr>
                <w:rFonts w:ascii="Arial" w:hAnsi="Arial" w:cs="Arial"/>
                <w:bCs/>
                <w:color w:val="000000" w:themeColor="text1"/>
                <w:sz w:val="18"/>
                <w:szCs w:val="18"/>
              </w:rPr>
              <w:t>B</w:t>
            </w:r>
          </w:p>
        </w:tc>
        <w:tc>
          <w:tcPr>
            <w:tcW w:w="1665" w:type="dxa"/>
          </w:tcPr>
          <w:p w14:paraId="7EFA706F" w14:textId="4EFBFDC7" w:rsidR="00E55DC9" w:rsidRPr="00C84BAA"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76BF0">
              <w:rPr>
                <w:rFonts w:ascii="Arial" w:hAnsi="Arial" w:cs="Arial"/>
                <w:bCs/>
                <w:color w:val="000000" w:themeColor="text1"/>
                <w:sz w:val="18"/>
                <w:szCs w:val="18"/>
              </w:rPr>
              <w:t>-</w:t>
            </w:r>
            <w:r w:rsidR="00D0653E">
              <w:rPr>
                <w:rFonts w:ascii="Arial" w:hAnsi="Arial" w:cs="Arial"/>
                <w:bCs/>
                <w:color w:val="000000" w:themeColor="text1"/>
                <w:sz w:val="18"/>
                <w:szCs w:val="18"/>
              </w:rPr>
              <w:t>6.1</w:t>
            </w:r>
            <w:r w:rsidRPr="00A76BF0">
              <w:rPr>
                <w:rFonts w:ascii="Arial" w:hAnsi="Arial" w:cs="Arial"/>
                <w:bCs/>
                <w:color w:val="000000" w:themeColor="text1"/>
                <w:sz w:val="18"/>
                <w:szCs w:val="18"/>
              </w:rPr>
              <w:t>%</w:t>
            </w:r>
          </w:p>
        </w:tc>
        <w:tc>
          <w:tcPr>
            <w:tcW w:w="1486" w:type="dxa"/>
          </w:tcPr>
          <w:p w14:paraId="68B84796" w14:textId="3258E333" w:rsidR="00E55DC9" w:rsidRPr="00C84BAA"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0653E">
              <w:rPr>
                <w:rFonts w:ascii="Arial" w:hAnsi="Arial" w:cs="Arial"/>
                <w:bCs/>
                <w:color w:val="000000" w:themeColor="text1"/>
                <w:sz w:val="18"/>
                <w:szCs w:val="18"/>
              </w:rPr>
              <w:t>7.2</w:t>
            </w:r>
            <w:r w:rsidRPr="00A76BF0">
              <w:rPr>
                <w:rFonts w:ascii="Arial" w:hAnsi="Arial" w:cs="Arial"/>
                <w:bCs/>
                <w:color w:val="000000" w:themeColor="text1"/>
                <w:sz w:val="18"/>
                <w:szCs w:val="18"/>
              </w:rPr>
              <w:t>%</w:t>
            </w:r>
          </w:p>
        </w:tc>
      </w:tr>
      <w:tr w:rsidR="00E55DC9" w:rsidRPr="00F15260" w14:paraId="43D6193F" w14:textId="77777777" w:rsidTr="00C853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E55DC9" w:rsidRPr="00F15260" w:rsidRDefault="00E55DC9" w:rsidP="00E55DC9">
            <w:pPr>
              <w:pStyle w:val="NoSpacing"/>
              <w:rPr>
                <w:rFonts w:ascii="Arial" w:eastAsia="Times New Roman" w:hAnsi="Arial" w:cs="Arial"/>
                <w:b w:val="0"/>
                <w:bCs w:val="0"/>
                <w:color w:val="000000" w:themeColor="text1"/>
                <w:sz w:val="18"/>
                <w:szCs w:val="18"/>
              </w:rPr>
            </w:pPr>
            <w:r w:rsidRPr="00F15260">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vAlign w:val="center"/>
          </w:tcPr>
          <w:p w14:paraId="46526851" w14:textId="544E53B7"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sidR="00D0653E">
              <w:rPr>
                <w:rFonts w:ascii="Arial" w:hAnsi="Arial" w:cs="Arial"/>
                <w:bCs/>
                <w:color w:val="000000" w:themeColor="text1"/>
                <w:sz w:val="18"/>
                <w:szCs w:val="18"/>
              </w:rPr>
              <w:t>26</w:t>
            </w:r>
            <w:r w:rsidRPr="00C84BAA">
              <w:rPr>
                <w:rFonts w:ascii="Arial" w:hAnsi="Arial" w:cs="Arial"/>
                <w:bCs/>
                <w:color w:val="000000" w:themeColor="text1"/>
                <w:sz w:val="18"/>
                <w:szCs w:val="18"/>
              </w:rPr>
              <w:t>M</w:t>
            </w:r>
          </w:p>
        </w:tc>
        <w:tc>
          <w:tcPr>
            <w:tcW w:w="1485" w:type="dxa"/>
            <w:shd w:val="clear" w:color="auto" w:fill="D9D9D9" w:themeFill="background1" w:themeFillShade="D9"/>
          </w:tcPr>
          <w:p w14:paraId="6278C770" w14:textId="70ED2D2B"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-3.</w:t>
            </w:r>
            <w:r w:rsidR="00D0653E">
              <w:rPr>
                <w:rFonts w:ascii="Arial" w:hAnsi="Arial" w:cs="Arial"/>
                <w:bCs/>
                <w:color w:val="000000" w:themeColor="text1"/>
                <w:sz w:val="18"/>
                <w:szCs w:val="18"/>
              </w:rPr>
              <w:t>2</w:t>
            </w:r>
            <w:r w:rsidRPr="00D65C0B">
              <w:rPr>
                <w:rFonts w:ascii="Arial" w:hAnsi="Arial" w:cs="Arial"/>
                <w:bCs/>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4E87EFA0" w14:textId="735BC2D2"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0653E">
              <w:rPr>
                <w:rFonts w:ascii="Arial" w:hAnsi="Arial" w:cs="Arial"/>
                <w:bCs/>
                <w:color w:val="000000" w:themeColor="text1"/>
                <w:sz w:val="18"/>
                <w:szCs w:val="18"/>
              </w:rPr>
              <w:t>5.1</w:t>
            </w:r>
            <w:r w:rsidRPr="00D65C0B">
              <w:rPr>
                <w:rFonts w:ascii="Arial" w:hAnsi="Arial" w:cs="Arial"/>
                <w:bCs/>
                <w:color w:val="000000" w:themeColor="text1"/>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5000A218" w14:textId="11D2145B"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347M</w:t>
            </w:r>
          </w:p>
        </w:tc>
        <w:tc>
          <w:tcPr>
            <w:tcW w:w="1665" w:type="dxa"/>
            <w:shd w:val="clear" w:color="auto" w:fill="D9D9D9" w:themeFill="background1" w:themeFillShade="D9"/>
          </w:tcPr>
          <w:p w14:paraId="43574BCF" w14:textId="22D38776"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w:t>
            </w:r>
            <w:r w:rsidR="00D0653E">
              <w:rPr>
                <w:rFonts w:ascii="Arial" w:hAnsi="Arial" w:cs="Arial"/>
                <w:bCs/>
                <w:color w:val="000000" w:themeColor="text1"/>
                <w:sz w:val="18"/>
                <w:szCs w:val="18"/>
              </w:rPr>
              <w:t>0</w:t>
            </w:r>
            <w:r w:rsidRPr="00A76BF0">
              <w:rPr>
                <w:rFonts w:ascii="Arial" w:hAnsi="Arial" w:cs="Arial"/>
                <w:bCs/>
                <w:color w:val="000000" w:themeColor="text1"/>
                <w:sz w:val="18"/>
                <w:szCs w:val="18"/>
              </w:rPr>
              <w:t>%</w:t>
            </w:r>
          </w:p>
        </w:tc>
        <w:tc>
          <w:tcPr>
            <w:tcW w:w="1486" w:type="dxa"/>
            <w:shd w:val="clear" w:color="auto" w:fill="D9D9D9" w:themeFill="background1" w:themeFillShade="D9"/>
          </w:tcPr>
          <w:p w14:paraId="07041CEB" w14:textId="0B491AE6" w:rsidR="00E55DC9" w:rsidRPr="00C84BAA" w:rsidRDefault="00E55DC9" w:rsidP="00E55D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76BF0">
              <w:rPr>
                <w:rFonts w:ascii="Arial" w:hAnsi="Arial" w:cs="Arial"/>
                <w:bCs/>
                <w:color w:val="000000" w:themeColor="text1"/>
                <w:sz w:val="18"/>
                <w:szCs w:val="18"/>
              </w:rPr>
              <w:t>-</w:t>
            </w:r>
            <w:r w:rsidR="00D0653E">
              <w:rPr>
                <w:rFonts w:ascii="Arial" w:hAnsi="Arial" w:cs="Arial"/>
                <w:bCs/>
                <w:color w:val="000000" w:themeColor="text1"/>
                <w:sz w:val="18"/>
                <w:szCs w:val="18"/>
              </w:rPr>
              <w:t>2.6</w:t>
            </w:r>
            <w:r w:rsidRPr="00A76BF0">
              <w:rPr>
                <w:rFonts w:ascii="Arial" w:hAnsi="Arial" w:cs="Arial"/>
                <w:bCs/>
                <w:color w:val="000000" w:themeColor="text1"/>
                <w:sz w:val="18"/>
                <w:szCs w:val="18"/>
              </w:rPr>
              <w:t>%</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lastRenderedPageBreak/>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Default="001445C0" w:rsidP="001445C0">
      <w:pPr>
        <w:pStyle w:val="NoSpacing"/>
        <w:rPr>
          <w:rFonts w:ascii="Arial" w:hAnsi="Arial" w:cs="Arial"/>
          <w:bCs/>
          <w:color w:val="000000" w:themeColor="text1"/>
          <w:sz w:val="20"/>
          <w:szCs w:val="16"/>
        </w:rPr>
      </w:pPr>
    </w:p>
    <w:p w14:paraId="1121E384" w14:textId="535DE036" w:rsidR="00325C3A" w:rsidRDefault="00F81649" w:rsidP="001445C0">
      <w:pPr>
        <w:pStyle w:val="NoSpacing"/>
        <w:rPr>
          <w:rFonts w:ascii="Arial" w:hAnsi="Arial" w:cs="Arial"/>
          <w:bCs/>
          <w:color w:val="000000" w:themeColor="text1"/>
          <w:sz w:val="20"/>
          <w:szCs w:val="16"/>
        </w:rPr>
      </w:pPr>
      <w:r>
        <w:rPr>
          <w:rFonts w:ascii="Arial" w:hAnsi="Arial" w:cs="Arial"/>
          <w:bCs/>
          <w:color w:val="000000" w:themeColor="text1"/>
          <w:sz w:val="20"/>
          <w:szCs w:val="16"/>
        </w:rPr>
        <w:t>Finfish sales have been on a long comeback tour</w:t>
      </w:r>
      <w:r w:rsidR="00E55DC9">
        <w:rPr>
          <w:rFonts w:ascii="Arial" w:hAnsi="Arial" w:cs="Arial"/>
          <w:bCs/>
          <w:color w:val="000000" w:themeColor="text1"/>
          <w:sz w:val="20"/>
          <w:szCs w:val="16"/>
        </w:rPr>
        <w:t xml:space="preserve"> and </w:t>
      </w:r>
      <w:r w:rsidR="002124AA">
        <w:rPr>
          <w:rFonts w:ascii="Arial" w:hAnsi="Arial" w:cs="Arial"/>
          <w:bCs/>
          <w:color w:val="000000" w:themeColor="text1"/>
          <w:sz w:val="20"/>
          <w:szCs w:val="16"/>
        </w:rPr>
        <w:t xml:space="preserve">first quarter and March </w:t>
      </w:r>
      <w:r w:rsidR="00E55DC9">
        <w:rPr>
          <w:rFonts w:ascii="Arial" w:hAnsi="Arial" w:cs="Arial"/>
          <w:bCs/>
          <w:color w:val="000000" w:themeColor="text1"/>
          <w:sz w:val="20"/>
          <w:szCs w:val="16"/>
        </w:rPr>
        <w:t xml:space="preserve">sales were strong. </w:t>
      </w:r>
      <w:r w:rsidR="002124AA">
        <w:rPr>
          <w:rFonts w:ascii="Arial" w:hAnsi="Arial" w:cs="Arial"/>
          <w:bCs/>
          <w:color w:val="000000" w:themeColor="text1"/>
          <w:sz w:val="20"/>
          <w:szCs w:val="16"/>
        </w:rPr>
        <w:t>Both dollar and pound sales increased by 2-3% at the start of 2025.</w:t>
      </w:r>
    </w:p>
    <w:p w14:paraId="0A3B0BF2" w14:textId="77777777" w:rsidR="002124AA" w:rsidRDefault="00AD301E"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91008" behindDoc="0" locked="0" layoutInCell="1" allowOverlap="1" wp14:anchorId="01CBEC34" wp14:editId="285BAEDA">
                <wp:simplePos x="0" y="0"/>
                <wp:positionH relativeFrom="margin">
                  <wp:align>left</wp:align>
                </wp:positionH>
                <wp:positionV relativeFrom="paragraph">
                  <wp:posOffset>2658745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0;margin-top:209.35pt;width:204.1pt;height:16.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" fillcolor="white [3201]" stroked="f" strokeweight=".5pt">
                <v:textbo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v:textbox>
                <w10:wrap anchorx="margin"/>
              </v:shape>
            </w:pict>
          </mc:Fallback>
        </mc:AlternateContent>
      </w: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284EA21B">
            <wp:simplePos x="0" y="0"/>
            <wp:positionH relativeFrom="column">
              <wp:posOffset>-28575</wp:posOffset>
            </wp:positionH>
            <wp:positionV relativeFrom="paragraph">
              <wp:posOffset>192405</wp:posOffset>
            </wp:positionV>
            <wp:extent cx="6675120" cy="2772410"/>
            <wp:effectExtent l="0" t="0" r="0" b="8890"/>
            <wp:wrapTight wrapText="bothSides">
              <wp:wrapPolygon edited="0">
                <wp:start x="0" y="0"/>
                <wp:lineTo x="0" y="21521"/>
                <wp:lineTo x="21514" y="21521"/>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1DF180B5" w14:textId="1B4D918E" w:rsidR="00293CE8" w:rsidRDefault="00F81649" w:rsidP="001445C0">
      <w:pPr>
        <w:pStyle w:val="NoSpacing"/>
        <w:rPr>
          <w:rFonts w:ascii="Arial" w:hAnsi="Arial" w:cs="Arial"/>
          <w:sz w:val="20"/>
          <w:szCs w:val="20"/>
        </w:rPr>
      </w:pPr>
      <w:r>
        <w:rPr>
          <w:rFonts w:ascii="Arial" w:hAnsi="Arial" w:cs="Arial"/>
          <w:sz w:val="20"/>
          <w:szCs w:val="20"/>
        </w:rPr>
        <w:t xml:space="preserve">The trajectory for shellfish is vastly different. Year-over-year pound gains peaked in the first quarter of 2023 and have been </w:t>
      </w:r>
      <w:r w:rsidR="002124AA">
        <w:rPr>
          <w:rFonts w:ascii="Arial" w:hAnsi="Arial" w:cs="Arial"/>
          <w:sz w:val="20"/>
          <w:szCs w:val="20"/>
        </w:rPr>
        <w:t>in the negative</w:t>
      </w:r>
      <w:r>
        <w:rPr>
          <w:rFonts w:ascii="Arial" w:hAnsi="Arial" w:cs="Arial"/>
          <w:sz w:val="20"/>
          <w:szCs w:val="20"/>
        </w:rPr>
        <w:t xml:space="preserve"> ever since. </w:t>
      </w:r>
    </w:p>
    <w:p w14:paraId="736366D7" w14:textId="306183E6" w:rsidR="002124AA" w:rsidRDefault="002124AA" w:rsidP="001445C0">
      <w:pPr>
        <w:pStyle w:val="NoSpacing"/>
        <w:rPr>
          <w:rFonts w:ascii="Arial" w:hAnsi="Arial" w:cs="Arial"/>
          <w:sz w:val="20"/>
          <w:szCs w:val="20"/>
        </w:rPr>
      </w:pPr>
    </w:p>
    <w:p w14:paraId="3990DEC7" w14:textId="100BE5B0" w:rsidR="00293CE8" w:rsidRDefault="00F81649"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7D6A9CF7">
                <wp:simplePos x="0" y="0"/>
                <wp:positionH relativeFrom="margin">
                  <wp:align>right</wp:align>
                </wp:positionH>
                <wp:positionV relativeFrom="paragraph">
                  <wp:posOffset>2633980</wp:posOffset>
                </wp:positionV>
                <wp:extent cx="2592126" cy="214685"/>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207.4pt;width:204.1pt;height:16.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i7MQ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" fillcolor="white [3201]" stroked="f" strokeweight=".5pt">
                <v:textbo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inline distT="0" distB="0" distL="0" distR="0" wp14:anchorId="66B012FF" wp14:editId="54CE53C4">
            <wp:extent cx="6750685" cy="2790825"/>
            <wp:effectExtent l="0" t="0" r="0" b="0"/>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BC9C1" w14:textId="1B5763B9" w:rsidR="00293CE8" w:rsidRDefault="00293CE8" w:rsidP="001445C0">
      <w:pPr>
        <w:pStyle w:val="NoSpacing"/>
        <w:rPr>
          <w:rFonts w:ascii="Arial" w:hAnsi="Arial" w:cs="Arial"/>
          <w:sz w:val="20"/>
          <w:szCs w:val="20"/>
        </w:rPr>
      </w:pPr>
    </w:p>
    <w:p w14:paraId="1FF80E62" w14:textId="77777777" w:rsidR="00BA455E" w:rsidRDefault="00BA455E" w:rsidP="00B25707">
      <w:pPr>
        <w:spacing w:after="0" w:line="240" w:lineRule="auto"/>
        <w:rPr>
          <w:rFonts w:ascii="Arial" w:hAnsi="Arial" w:cs="Arial"/>
          <w:color w:val="000000" w:themeColor="text1"/>
          <w:sz w:val="20"/>
        </w:rPr>
      </w:pPr>
    </w:p>
    <w:tbl>
      <w:tblPr>
        <w:tblStyle w:val="GridTable4"/>
        <w:tblpPr w:leftFromText="180" w:rightFromText="180" w:vertAnchor="text" w:horzAnchor="margin" w:tblpY="137"/>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4"/>
        <w:gridCol w:w="1301"/>
        <w:gridCol w:w="1568"/>
        <w:gridCol w:w="1711"/>
      </w:tblGrid>
      <w:tr w:rsidR="00606523" w:rsidRPr="00B25707" w14:paraId="54046789" w14:textId="77777777" w:rsidTr="00AC1670">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788BD5A6" w14:textId="77777777" w:rsidR="00606523" w:rsidRPr="00B25707" w:rsidRDefault="00606523" w:rsidP="00606523">
            <w:pPr>
              <w:pStyle w:val="NoSpacing"/>
              <w:rPr>
                <w:rFonts w:ascii="Arial" w:hAnsi="Arial" w:cs="Arial"/>
                <w:sz w:val="18"/>
                <w:szCs w:val="18"/>
              </w:rPr>
            </w:pPr>
            <w:r w:rsidRPr="00B25707">
              <w:rPr>
                <w:rFonts w:ascii="Arial" w:hAnsi="Arial" w:cs="Arial"/>
                <w:sz w:val="18"/>
                <w:szCs w:val="18"/>
              </w:rPr>
              <w:t>Fresh seafood</w:t>
            </w:r>
          </w:p>
        </w:tc>
        <w:tc>
          <w:tcPr>
            <w:tcW w:w="1055"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79047E1" w14:textId="77777777" w:rsidR="00606523" w:rsidRPr="00B25707" w:rsidRDefault="00606523" w:rsidP="00606523">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65224A71" w14:textId="77777777" w:rsidR="00606523" w:rsidRPr="00B25707" w:rsidRDefault="00606523" w:rsidP="00606523">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6F8ECABB" w14:textId="77777777" w:rsidR="00606523" w:rsidRPr="00B25707" w:rsidRDefault="00606523" w:rsidP="00606523">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701340" w:rsidRPr="00E45EF4" w14:paraId="5025B165" w14:textId="77777777" w:rsidTr="004D3E3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4804D97F" w14:textId="045AB863" w:rsidR="00701340" w:rsidRPr="00FA2F0F" w:rsidRDefault="00701340" w:rsidP="00701340">
            <w:pPr>
              <w:pStyle w:val="NoSpacing"/>
              <w:rPr>
                <w:rFonts w:ascii="Arial" w:hAnsi="Arial" w:cs="Arial"/>
                <w:color w:val="000000" w:themeColor="text1"/>
                <w:sz w:val="18"/>
                <w:szCs w:val="18"/>
              </w:rPr>
            </w:pPr>
            <w:r>
              <w:rPr>
                <w:rFonts w:ascii="Arial" w:hAnsi="Arial" w:cs="Arial"/>
                <w:color w:val="000000"/>
                <w:sz w:val="18"/>
                <w:szCs w:val="18"/>
              </w:rPr>
              <w:t>March 2025</w:t>
            </w:r>
          </w:p>
        </w:tc>
        <w:tc>
          <w:tcPr>
            <w:tcW w:w="1055" w:type="pct"/>
          </w:tcPr>
          <w:p w14:paraId="7D18B819" w14:textId="43B6674A" w:rsidR="00701340" w:rsidRPr="00335759"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$6</w:t>
            </w:r>
            <w:r>
              <w:rPr>
                <w:rFonts w:ascii="Arial" w:hAnsi="Arial" w:cs="Arial"/>
                <w:b/>
                <w:bCs/>
                <w:color w:val="000000" w:themeColor="text1"/>
                <w:sz w:val="18"/>
                <w:szCs w:val="18"/>
              </w:rPr>
              <w:t>79</w:t>
            </w:r>
            <w:r w:rsidRPr="00A856F4">
              <w:rPr>
                <w:rFonts w:ascii="Arial" w:hAnsi="Arial" w:cs="Arial"/>
                <w:b/>
                <w:bCs/>
                <w:color w:val="000000" w:themeColor="text1"/>
                <w:sz w:val="18"/>
                <w:szCs w:val="18"/>
              </w:rPr>
              <w:t>M</w:t>
            </w:r>
          </w:p>
        </w:tc>
        <w:tc>
          <w:tcPr>
            <w:tcW w:w="1272" w:type="pct"/>
          </w:tcPr>
          <w:p w14:paraId="385B848E" w14:textId="2C5829EB" w:rsidR="00701340" w:rsidRPr="00335759"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themeColor="text1"/>
                <w:sz w:val="18"/>
                <w:szCs w:val="18"/>
              </w:rPr>
              <w:t>+1.9</w:t>
            </w:r>
            <w:r w:rsidRPr="00A856F4">
              <w:rPr>
                <w:rFonts w:ascii="Arial" w:hAnsi="Arial" w:cs="Arial"/>
                <w:b/>
                <w:bCs/>
                <w:color w:val="000000" w:themeColor="text1"/>
                <w:sz w:val="18"/>
                <w:szCs w:val="18"/>
              </w:rPr>
              <w:t>%</w:t>
            </w:r>
          </w:p>
        </w:tc>
        <w:tc>
          <w:tcPr>
            <w:tcW w:w="1388" w:type="pct"/>
          </w:tcPr>
          <w:p w14:paraId="29F8FD99" w14:textId="1894B513" w:rsidR="00701340" w:rsidRPr="005A1DA4"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sz w:val="18"/>
                <w:szCs w:val="18"/>
              </w:rPr>
              <w:t>+1.4</w:t>
            </w:r>
            <w:r w:rsidRPr="00A856F4">
              <w:rPr>
                <w:rFonts w:ascii="Arial" w:hAnsi="Arial" w:cs="Arial"/>
                <w:b/>
                <w:bCs/>
                <w:color w:val="000000"/>
                <w:sz w:val="18"/>
                <w:szCs w:val="18"/>
              </w:rPr>
              <w:t>%</w:t>
            </w:r>
          </w:p>
        </w:tc>
      </w:tr>
      <w:tr w:rsidR="00701340" w:rsidRPr="009302F6" w14:paraId="64478A0D" w14:textId="77777777" w:rsidTr="00743B63">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65F4F256" w14:textId="37E8B954" w:rsidR="00701340" w:rsidRPr="00E55DC9" w:rsidRDefault="00701340" w:rsidP="00701340">
            <w:pPr>
              <w:rPr>
                <w:rFonts w:ascii="Arial" w:hAnsi="Arial" w:cs="Arial"/>
                <w:b w:val="0"/>
                <w:bCs w:val="0"/>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3</w:t>
            </w:r>
            <w:r w:rsidRPr="00E55DC9">
              <w:rPr>
                <w:rFonts w:ascii="Arial" w:hAnsi="Arial" w:cs="Arial"/>
                <w:b w:val="0"/>
                <w:bCs w:val="0"/>
                <w:color w:val="000000"/>
                <w:sz w:val="18"/>
                <w:szCs w:val="18"/>
              </w:rPr>
              <w:t>-09-25</w:t>
            </w:r>
          </w:p>
        </w:tc>
        <w:tc>
          <w:tcPr>
            <w:tcW w:w="1055" w:type="pct"/>
          </w:tcPr>
          <w:p w14:paraId="0101C189" w14:textId="108548BF"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184</w:t>
            </w:r>
            <w:r w:rsidRPr="00701340">
              <w:rPr>
                <w:rFonts w:ascii="Arial" w:eastAsia="Times New Roman" w:hAnsi="Arial" w:cs="Arial"/>
                <w:bCs/>
                <w:color w:val="000000" w:themeColor="text1"/>
                <w:sz w:val="18"/>
                <w:szCs w:val="18"/>
              </w:rPr>
              <w:t>M</w:t>
            </w:r>
          </w:p>
        </w:tc>
        <w:tc>
          <w:tcPr>
            <w:tcW w:w="1272" w:type="pct"/>
          </w:tcPr>
          <w:p w14:paraId="3B6A54A6" w14:textId="5550D620"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9.2</w:t>
            </w:r>
            <w:r w:rsidRPr="00701340">
              <w:rPr>
                <w:rFonts w:ascii="Arial" w:hAnsi="Arial" w:cs="Arial"/>
                <w:bCs/>
                <w:color w:val="000000" w:themeColor="text1"/>
                <w:sz w:val="18"/>
                <w:szCs w:val="18"/>
              </w:rPr>
              <w:t>%</w:t>
            </w:r>
          </w:p>
        </w:tc>
        <w:tc>
          <w:tcPr>
            <w:tcW w:w="1388" w:type="pct"/>
          </w:tcPr>
          <w:p w14:paraId="793E40C4" w14:textId="0620D3F8"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11.2</w:t>
            </w:r>
            <w:r w:rsidRPr="00701340">
              <w:rPr>
                <w:rFonts w:ascii="Arial" w:hAnsi="Arial" w:cs="Arial"/>
                <w:bCs/>
                <w:color w:val="000000" w:themeColor="text1"/>
                <w:sz w:val="18"/>
                <w:szCs w:val="18"/>
              </w:rPr>
              <w:t>%</w:t>
            </w:r>
          </w:p>
        </w:tc>
      </w:tr>
      <w:tr w:rsidR="00701340" w:rsidRPr="009302F6" w14:paraId="406BDEB8" w14:textId="77777777" w:rsidTr="00743B63">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51134F39" w14:textId="737511B3" w:rsidR="00701340" w:rsidRPr="00E55DC9" w:rsidRDefault="00701340" w:rsidP="00701340">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3</w:t>
            </w:r>
            <w:r w:rsidRPr="00E55DC9">
              <w:rPr>
                <w:rFonts w:ascii="Arial" w:hAnsi="Arial" w:cs="Arial"/>
                <w:b w:val="0"/>
                <w:bCs w:val="0"/>
                <w:color w:val="000000"/>
                <w:sz w:val="18"/>
                <w:szCs w:val="18"/>
              </w:rPr>
              <w:t>-16-25</w:t>
            </w:r>
          </w:p>
        </w:tc>
        <w:tc>
          <w:tcPr>
            <w:tcW w:w="1055" w:type="pct"/>
          </w:tcPr>
          <w:p w14:paraId="6CD32E3F" w14:textId="6E4992B3"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169</w:t>
            </w:r>
            <w:r w:rsidRPr="00701340">
              <w:rPr>
                <w:rFonts w:ascii="Arial" w:eastAsia="Times New Roman" w:hAnsi="Arial" w:cs="Arial"/>
                <w:bCs/>
                <w:color w:val="000000" w:themeColor="text1"/>
                <w:sz w:val="18"/>
                <w:szCs w:val="18"/>
              </w:rPr>
              <w:t>M</w:t>
            </w:r>
          </w:p>
        </w:tc>
        <w:tc>
          <w:tcPr>
            <w:tcW w:w="1272" w:type="pct"/>
          </w:tcPr>
          <w:p w14:paraId="7CA22058" w14:textId="5CD2DC13"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701340">
              <w:rPr>
                <w:rFonts w:ascii="Arial" w:hAnsi="Arial" w:cs="Arial"/>
                <w:bCs/>
                <w:color w:val="000000" w:themeColor="text1"/>
                <w:sz w:val="18"/>
                <w:szCs w:val="18"/>
              </w:rPr>
              <w:t>+</w:t>
            </w:r>
            <w:r>
              <w:rPr>
                <w:rFonts w:ascii="Arial" w:hAnsi="Arial" w:cs="Arial"/>
                <w:bCs/>
                <w:color w:val="000000" w:themeColor="text1"/>
                <w:sz w:val="18"/>
                <w:szCs w:val="18"/>
              </w:rPr>
              <w:t>3.9</w:t>
            </w:r>
            <w:r w:rsidRPr="00701340">
              <w:rPr>
                <w:rFonts w:ascii="Arial" w:hAnsi="Arial" w:cs="Arial"/>
                <w:bCs/>
                <w:color w:val="000000" w:themeColor="text1"/>
                <w:sz w:val="18"/>
                <w:szCs w:val="18"/>
              </w:rPr>
              <w:t>%</w:t>
            </w:r>
          </w:p>
        </w:tc>
        <w:tc>
          <w:tcPr>
            <w:tcW w:w="1388" w:type="pct"/>
          </w:tcPr>
          <w:p w14:paraId="72BFBABD" w14:textId="7BD5B978"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2.4</w:t>
            </w:r>
            <w:r w:rsidRPr="00701340">
              <w:rPr>
                <w:rFonts w:ascii="Arial" w:hAnsi="Arial" w:cs="Arial"/>
                <w:bCs/>
                <w:color w:val="000000" w:themeColor="text1"/>
                <w:sz w:val="18"/>
                <w:szCs w:val="18"/>
              </w:rPr>
              <w:t>%</w:t>
            </w:r>
          </w:p>
        </w:tc>
      </w:tr>
      <w:tr w:rsidR="00701340" w:rsidRPr="009302F6" w14:paraId="3E668AA5" w14:textId="77777777" w:rsidTr="00743B63">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054C0EA4" w14:textId="228DC941" w:rsidR="00701340" w:rsidRPr="00E55DC9" w:rsidRDefault="00701340" w:rsidP="00701340">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3</w:t>
            </w:r>
            <w:r w:rsidRPr="00E55DC9">
              <w:rPr>
                <w:rFonts w:ascii="Arial" w:hAnsi="Arial" w:cs="Arial"/>
                <w:b w:val="0"/>
                <w:bCs w:val="0"/>
                <w:color w:val="000000"/>
                <w:sz w:val="18"/>
                <w:szCs w:val="18"/>
              </w:rPr>
              <w:t>-23-25</w:t>
            </w:r>
          </w:p>
        </w:tc>
        <w:tc>
          <w:tcPr>
            <w:tcW w:w="1055" w:type="pct"/>
          </w:tcPr>
          <w:p w14:paraId="51DA5C3B" w14:textId="11F69EC9"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162</w:t>
            </w:r>
            <w:r w:rsidRPr="00701340">
              <w:rPr>
                <w:rFonts w:ascii="Arial" w:eastAsia="Times New Roman" w:hAnsi="Arial" w:cs="Arial"/>
                <w:bCs/>
                <w:color w:val="000000" w:themeColor="text1"/>
                <w:sz w:val="18"/>
                <w:szCs w:val="18"/>
              </w:rPr>
              <w:t>M</w:t>
            </w:r>
          </w:p>
        </w:tc>
        <w:tc>
          <w:tcPr>
            <w:tcW w:w="1272" w:type="pct"/>
          </w:tcPr>
          <w:p w14:paraId="4111152E" w14:textId="7C8883F1"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701340">
              <w:rPr>
                <w:rFonts w:ascii="Arial" w:hAnsi="Arial" w:cs="Arial"/>
                <w:bCs/>
                <w:color w:val="000000" w:themeColor="text1"/>
                <w:sz w:val="18"/>
                <w:szCs w:val="18"/>
              </w:rPr>
              <w:t>+</w:t>
            </w:r>
            <w:r>
              <w:rPr>
                <w:rFonts w:ascii="Arial" w:hAnsi="Arial" w:cs="Arial"/>
                <w:bCs/>
                <w:color w:val="000000" w:themeColor="text1"/>
                <w:sz w:val="18"/>
                <w:szCs w:val="18"/>
              </w:rPr>
              <w:t>1.1</w:t>
            </w:r>
            <w:r w:rsidRPr="00701340">
              <w:rPr>
                <w:rFonts w:ascii="Arial" w:hAnsi="Arial" w:cs="Arial"/>
                <w:bCs/>
                <w:color w:val="000000" w:themeColor="text1"/>
                <w:sz w:val="18"/>
                <w:szCs w:val="18"/>
              </w:rPr>
              <w:t>%</w:t>
            </w:r>
          </w:p>
        </w:tc>
        <w:tc>
          <w:tcPr>
            <w:tcW w:w="1388" w:type="pct"/>
          </w:tcPr>
          <w:p w14:paraId="47666612" w14:textId="4DE0D629" w:rsidR="00701340" w:rsidRPr="00701340"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-0.9</w:t>
            </w:r>
            <w:r w:rsidRPr="00701340">
              <w:rPr>
                <w:rFonts w:ascii="Arial" w:hAnsi="Arial" w:cs="Arial"/>
                <w:bCs/>
                <w:color w:val="000000" w:themeColor="text1"/>
                <w:sz w:val="18"/>
                <w:szCs w:val="18"/>
              </w:rPr>
              <w:t>%</w:t>
            </w:r>
          </w:p>
        </w:tc>
      </w:tr>
      <w:tr w:rsidR="00701340" w:rsidRPr="009302F6" w14:paraId="1509A459" w14:textId="77777777" w:rsidTr="00743B63">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7EE1A811" w14:textId="4726E574" w:rsidR="00701340" w:rsidRPr="00E55DC9" w:rsidRDefault="00701340" w:rsidP="00701340">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3</w:t>
            </w:r>
            <w:r w:rsidRPr="00E55DC9">
              <w:rPr>
                <w:rFonts w:ascii="Arial" w:hAnsi="Arial" w:cs="Arial"/>
                <w:b w:val="0"/>
                <w:bCs w:val="0"/>
                <w:color w:val="000000"/>
                <w:sz w:val="18"/>
                <w:szCs w:val="18"/>
              </w:rPr>
              <w:t>-</w:t>
            </w:r>
            <w:r>
              <w:rPr>
                <w:rFonts w:ascii="Arial" w:hAnsi="Arial" w:cs="Arial"/>
                <w:b w:val="0"/>
                <w:bCs w:val="0"/>
                <w:color w:val="000000"/>
                <w:sz w:val="18"/>
                <w:szCs w:val="18"/>
              </w:rPr>
              <w:t>30</w:t>
            </w:r>
            <w:r w:rsidRPr="00E55DC9">
              <w:rPr>
                <w:rFonts w:ascii="Arial" w:hAnsi="Arial" w:cs="Arial"/>
                <w:b w:val="0"/>
                <w:bCs w:val="0"/>
                <w:color w:val="000000"/>
                <w:sz w:val="18"/>
                <w:szCs w:val="18"/>
              </w:rPr>
              <w:t>-25</w:t>
            </w:r>
          </w:p>
        </w:tc>
        <w:tc>
          <w:tcPr>
            <w:tcW w:w="1055" w:type="pct"/>
          </w:tcPr>
          <w:p w14:paraId="31F982FF" w14:textId="2575DC3D"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164</w:t>
            </w:r>
            <w:r w:rsidRPr="00701340">
              <w:rPr>
                <w:rFonts w:ascii="Arial" w:eastAsia="Times New Roman" w:hAnsi="Arial" w:cs="Arial"/>
                <w:bCs/>
                <w:color w:val="000000" w:themeColor="text1"/>
                <w:sz w:val="18"/>
                <w:szCs w:val="18"/>
              </w:rPr>
              <w:t>M</w:t>
            </w:r>
          </w:p>
        </w:tc>
        <w:tc>
          <w:tcPr>
            <w:tcW w:w="1272" w:type="pct"/>
          </w:tcPr>
          <w:p w14:paraId="4C233CFD" w14:textId="54ED5437"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-6.2</w:t>
            </w:r>
            <w:r w:rsidRPr="00701340">
              <w:rPr>
                <w:rFonts w:ascii="Arial" w:hAnsi="Arial" w:cs="Arial"/>
                <w:bCs/>
                <w:color w:val="000000" w:themeColor="text1"/>
                <w:sz w:val="18"/>
                <w:szCs w:val="18"/>
              </w:rPr>
              <w:t>%</w:t>
            </w:r>
          </w:p>
        </w:tc>
        <w:tc>
          <w:tcPr>
            <w:tcW w:w="1388" w:type="pct"/>
          </w:tcPr>
          <w:p w14:paraId="7EE79344" w14:textId="40F81FCF" w:rsidR="00701340" w:rsidRPr="00701340" w:rsidRDefault="00701340" w:rsidP="007013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-6.9</w:t>
            </w:r>
            <w:r w:rsidRPr="00701340">
              <w:rPr>
                <w:rFonts w:ascii="Arial" w:hAnsi="Arial" w:cs="Arial"/>
                <w:bCs/>
                <w:color w:val="000000" w:themeColor="text1"/>
                <w:sz w:val="18"/>
                <w:szCs w:val="18"/>
              </w:rPr>
              <w:t>%</w:t>
            </w:r>
          </w:p>
        </w:tc>
      </w:tr>
    </w:tbl>
    <w:p w14:paraId="4CE9E544" w14:textId="475F993E" w:rsidR="00F81649" w:rsidRDefault="002124AA" w:rsidP="00F81649">
      <w:pPr>
        <w:spacing w:after="0" w:line="240" w:lineRule="auto"/>
        <w:rPr>
          <w:rFonts w:ascii="Arial" w:hAnsi="Arial" w:cs="Arial"/>
          <w:b/>
          <w:color w:val="00857C"/>
          <w:sz w:val="24"/>
          <w:szCs w:val="20"/>
        </w:rPr>
      </w:pPr>
      <w:r>
        <w:rPr>
          <w:rFonts w:ascii="Arial" w:hAnsi="Arial" w:cs="Arial"/>
          <w:color w:val="000000" w:themeColor="text1"/>
          <w:sz w:val="20"/>
        </w:rPr>
        <w:t>The first three of the four March weeks experienced dollar sales increases. The last week was Easter week in 2024 and the only week in which both year-on-year dollars and pounds decreased. The results during the first two weeks are promising for the remaining three weeks of Lent in April, with Easter falling on April 20</w:t>
      </w:r>
      <w:r w:rsidRPr="002124AA">
        <w:rPr>
          <w:rFonts w:ascii="Arial" w:hAnsi="Arial" w:cs="Arial"/>
          <w:color w:val="000000" w:themeColor="text1"/>
          <w:sz w:val="20"/>
          <w:vertAlign w:val="superscript"/>
        </w:rPr>
        <w:t>th</w:t>
      </w:r>
      <w:r>
        <w:rPr>
          <w:rFonts w:ascii="Arial" w:hAnsi="Arial" w:cs="Arial"/>
          <w:color w:val="000000" w:themeColor="text1"/>
          <w:sz w:val="20"/>
        </w:rPr>
        <w:t xml:space="preserve">. </w:t>
      </w:r>
    </w:p>
    <w:p w14:paraId="0D100CAD" w14:textId="2C43E082"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lastRenderedPageBreak/>
        <w:t>Top Species</w:t>
      </w:r>
    </w:p>
    <w:p w14:paraId="60C42216" w14:textId="31B6E982" w:rsidR="00AB4847" w:rsidRDefault="00D570D2"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Underneath the results for the total seafood department, individual species showed widely varying results. Powerhouse salmon </w:t>
      </w:r>
      <w:r w:rsidR="009B28EA">
        <w:rPr>
          <w:rFonts w:ascii="Arial" w:hAnsi="Arial" w:cs="Arial"/>
          <w:color w:val="000000" w:themeColor="text1"/>
          <w:sz w:val="20"/>
          <w:szCs w:val="20"/>
        </w:rPr>
        <w:t xml:space="preserve">generated </w:t>
      </w:r>
      <w:r w:rsidR="008104C2">
        <w:rPr>
          <w:rFonts w:ascii="Arial" w:hAnsi="Arial" w:cs="Arial"/>
          <w:color w:val="000000" w:themeColor="text1"/>
          <w:sz w:val="20"/>
          <w:szCs w:val="20"/>
        </w:rPr>
        <w:t xml:space="preserve">more than </w:t>
      </w:r>
      <w:r w:rsidR="002124AA">
        <w:rPr>
          <w:rFonts w:ascii="Arial" w:hAnsi="Arial" w:cs="Arial"/>
          <w:color w:val="000000" w:themeColor="text1"/>
          <w:sz w:val="20"/>
          <w:szCs w:val="20"/>
        </w:rPr>
        <w:t xml:space="preserve">four </w:t>
      </w:r>
      <w:r w:rsidR="009B28EA">
        <w:rPr>
          <w:rFonts w:ascii="Arial" w:hAnsi="Arial" w:cs="Arial"/>
          <w:color w:val="000000" w:themeColor="text1"/>
          <w:sz w:val="20"/>
          <w:szCs w:val="20"/>
        </w:rPr>
        <w:t>times the sales of number two,</w:t>
      </w:r>
      <w:r w:rsidR="002124AA">
        <w:rPr>
          <w:rFonts w:ascii="Arial" w:hAnsi="Arial" w:cs="Arial"/>
          <w:color w:val="000000" w:themeColor="text1"/>
          <w:sz w:val="20"/>
          <w:szCs w:val="20"/>
        </w:rPr>
        <w:t xml:space="preserve"> shrimp. This is also the first time in many, many months that shrimp overtook crab as the number two seller. Several species gained in pounds in March, including salmon, shrimp, tilapia, cod and trout. In the full-year view, salmon pound sales moved into the plus. Shrimp, tilapia, cod and trout are also showing demand growth. </w:t>
      </w: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398032CC"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701340" w:rsidRPr="00B86F96" w14:paraId="16F40298" w14:textId="77777777" w:rsidTr="000941C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701340" w:rsidRPr="00CD7509" w:rsidRDefault="00701340" w:rsidP="00701340">
            <w:pPr>
              <w:pStyle w:val="NoSpacing"/>
              <w:rPr>
                <w:rFonts w:ascii="Arial" w:hAnsi="Arial" w:cs="Arial"/>
                <w:color w:val="000000" w:themeColor="text1"/>
                <w:sz w:val="18"/>
                <w:szCs w:val="18"/>
              </w:rPr>
            </w:pPr>
            <w:r w:rsidRPr="00CD7509">
              <w:rPr>
                <w:rFonts w:ascii="Arial" w:eastAsia="Times New Roman" w:hAnsi="Arial" w:cs="Arial"/>
                <w:color w:val="000000" w:themeColor="text1"/>
                <w:sz w:val="18"/>
                <w:szCs w:val="18"/>
              </w:rPr>
              <w:t>Total fresh seafood</w:t>
            </w:r>
          </w:p>
        </w:tc>
        <w:tc>
          <w:tcPr>
            <w:tcW w:w="1305" w:type="dxa"/>
          </w:tcPr>
          <w:p w14:paraId="71D4E4BA" w14:textId="240F4BEF"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$6</w:t>
            </w:r>
            <w:r>
              <w:rPr>
                <w:rFonts w:ascii="Arial" w:hAnsi="Arial" w:cs="Arial"/>
                <w:b/>
                <w:bCs/>
                <w:color w:val="000000" w:themeColor="text1"/>
                <w:sz w:val="18"/>
                <w:szCs w:val="18"/>
              </w:rPr>
              <w:t>79</w:t>
            </w:r>
            <w:r w:rsidRPr="00A856F4">
              <w:rPr>
                <w:rFonts w:ascii="Arial" w:hAnsi="Arial" w:cs="Arial"/>
                <w:b/>
                <w:bCs/>
                <w:color w:val="000000" w:themeColor="text1"/>
                <w:sz w:val="18"/>
                <w:szCs w:val="18"/>
              </w:rPr>
              <w:t>M</w:t>
            </w:r>
          </w:p>
        </w:tc>
        <w:tc>
          <w:tcPr>
            <w:tcW w:w="1485" w:type="dxa"/>
          </w:tcPr>
          <w:p w14:paraId="0F57B38D" w14:textId="3EC271DE"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+1.9</w:t>
            </w:r>
            <w:r w:rsidRPr="00A856F4">
              <w:rPr>
                <w:rFonts w:ascii="Arial" w:hAnsi="Arial" w:cs="Arial"/>
                <w:b/>
                <w:bCs/>
                <w:color w:val="000000" w:themeColor="text1"/>
                <w:sz w:val="18"/>
                <w:szCs w:val="18"/>
              </w:rPr>
              <w:t>%</w:t>
            </w:r>
          </w:p>
        </w:tc>
        <w:tc>
          <w:tcPr>
            <w:tcW w:w="1485" w:type="dxa"/>
            <w:tcBorders>
              <w:right w:val="single" w:sz="4" w:space="0" w:color="auto"/>
            </w:tcBorders>
          </w:tcPr>
          <w:p w14:paraId="328FE4FE" w14:textId="78661551"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+1.4</w:t>
            </w:r>
            <w:r w:rsidRPr="00A856F4">
              <w:rPr>
                <w:rFonts w:ascii="Arial" w:hAnsi="Arial" w:cs="Arial"/>
                <w:b/>
                <w:bCs/>
                <w:color w:val="000000"/>
                <w:sz w:val="18"/>
                <w:szCs w:val="18"/>
              </w:rPr>
              <w:t>%</w:t>
            </w:r>
          </w:p>
        </w:tc>
        <w:tc>
          <w:tcPr>
            <w:tcW w:w="1485" w:type="dxa"/>
            <w:gridSpan w:val="2"/>
            <w:tcBorders>
              <w:left w:val="single" w:sz="4" w:space="0" w:color="auto"/>
            </w:tcBorders>
            <w:vAlign w:val="center"/>
          </w:tcPr>
          <w:p w14:paraId="5550A3A9" w14:textId="3F98E0CE"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$8.4B</w:t>
            </w:r>
          </w:p>
        </w:tc>
        <w:tc>
          <w:tcPr>
            <w:tcW w:w="1485" w:type="dxa"/>
          </w:tcPr>
          <w:p w14:paraId="11A37DDD" w14:textId="61CC4D05"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Pr>
                <w:rFonts w:ascii="Arial" w:hAnsi="Arial" w:cs="Arial"/>
                <w:b/>
                <w:bCs/>
                <w:color w:val="000000" w:themeColor="text1"/>
                <w:sz w:val="18"/>
                <w:szCs w:val="18"/>
              </w:rPr>
              <w:t>1.1</w:t>
            </w:r>
            <w:r w:rsidRPr="00A856F4">
              <w:rPr>
                <w:rFonts w:ascii="Arial" w:hAnsi="Arial" w:cs="Arial"/>
                <w:b/>
                <w:bCs/>
                <w:color w:val="000000" w:themeColor="text1"/>
                <w:sz w:val="18"/>
                <w:szCs w:val="18"/>
              </w:rPr>
              <w:t>%</w:t>
            </w:r>
          </w:p>
        </w:tc>
        <w:tc>
          <w:tcPr>
            <w:tcW w:w="1395" w:type="dxa"/>
          </w:tcPr>
          <w:p w14:paraId="4820373D" w14:textId="08F65BB4"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Pr>
                <w:rFonts w:ascii="Arial" w:hAnsi="Arial" w:cs="Arial"/>
                <w:b/>
                <w:bCs/>
                <w:color w:val="000000" w:themeColor="text1"/>
                <w:sz w:val="18"/>
                <w:szCs w:val="18"/>
              </w:rPr>
              <w:t>1.9</w:t>
            </w:r>
            <w:r w:rsidRPr="00A856F4">
              <w:rPr>
                <w:rFonts w:ascii="Arial" w:hAnsi="Arial" w:cs="Arial"/>
                <w:b/>
                <w:bCs/>
                <w:color w:val="000000" w:themeColor="text1"/>
                <w:sz w:val="18"/>
                <w:szCs w:val="18"/>
              </w:rPr>
              <w:t>%</w:t>
            </w:r>
          </w:p>
        </w:tc>
      </w:tr>
      <w:tr w:rsidR="00952302" w:rsidRPr="00F15260" w14:paraId="53921754" w14:textId="77777777" w:rsidTr="00A6365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952302" w:rsidRPr="00B86F96" w:rsidRDefault="00952302" w:rsidP="00952302">
            <w:pPr>
              <w:pStyle w:val="NoSpacing"/>
              <w:rPr>
                <w:rFonts w:ascii="Arial" w:hAnsi="Arial" w:cs="Arial"/>
                <w:b w:val="0"/>
                <w:bCs w:val="0"/>
                <w:color w:val="000000" w:themeColor="text1"/>
                <w:sz w:val="18"/>
                <w:szCs w:val="18"/>
              </w:rPr>
            </w:pPr>
            <w:r w:rsidRPr="00B86F96">
              <w:rPr>
                <w:rFonts w:ascii="Arial" w:eastAsia="Times New Roman" w:hAnsi="Arial" w:cs="Arial"/>
                <w:b w:val="0"/>
                <w:color w:val="000000" w:themeColor="text1"/>
                <w:sz w:val="18"/>
                <w:szCs w:val="18"/>
              </w:rPr>
              <w:t>Salmon</w:t>
            </w:r>
          </w:p>
        </w:tc>
        <w:tc>
          <w:tcPr>
            <w:tcW w:w="1305" w:type="dxa"/>
          </w:tcPr>
          <w:p w14:paraId="646CFFE0" w14:textId="7C1F6E1F"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C5007">
              <w:rPr>
                <w:rFonts w:ascii="Arial" w:hAnsi="Arial" w:cs="Arial"/>
                <w:bCs/>
                <w:color w:val="000000" w:themeColor="text1"/>
                <w:sz w:val="18"/>
                <w:szCs w:val="18"/>
              </w:rPr>
              <w:t>$</w:t>
            </w:r>
            <w:r>
              <w:rPr>
                <w:rFonts w:ascii="Arial" w:hAnsi="Arial" w:cs="Arial"/>
                <w:bCs/>
                <w:color w:val="000000" w:themeColor="text1"/>
                <w:sz w:val="18"/>
                <w:szCs w:val="18"/>
              </w:rPr>
              <w:t>3</w:t>
            </w:r>
            <w:r w:rsidR="00701340">
              <w:rPr>
                <w:rFonts w:ascii="Arial" w:hAnsi="Arial" w:cs="Arial"/>
                <w:bCs/>
                <w:color w:val="000000" w:themeColor="text1"/>
                <w:sz w:val="18"/>
                <w:szCs w:val="18"/>
              </w:rPr>
              <w:t>31</w:t>
            </w:r>
            <w:r w:rsidRPr="00DC5007">
              <w:rPr>
                <w:rFonts w:ascii="Arial" w:hAnsi="Arial" w:cs="Arial"/>
                <w:bCs/>
                <w:color w:val="000000" w:themeColor="text1"/>
                <w:sz w:val="18"/>
                <w:szCs w:val="18"/>
              </w:rPr>
              <w:t>M</w:t>
            </w:r>
          </w:p>
        </w:tc>
        <w:tc>
          <w:tcPr>
            <w:tcW w:w="1485" w:type="dxa"/>
          </w:tcPr>
          <w:p w14:paraId="44A1328E" w14:textId="32ECB64B"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+5.6</w:t>
            </w:r>
            <w:r w:rsidR="00952302" w:rsidRPr="00F25204">
              <w:rPr>
                <w:rFonts w:ascii="Arial" w:hAnsi="Arial" w:cs="Arial"/>
                <w:bCs/>
                <w:color w:val="000000"/>
                <w:sz w:val="18"/>
                <w:szCs w:val="18"/>
              </w:rPr>
              <w:t>%</w:t>
            </w:r>
          </w:p>
        </w:tc>
        <w:tc>
          <w:tcPr>
            <w:tcW w:w="1485" w:type="dxa"/>
            <w:tcBorders>
              <w:right w:val="single" w:sz="4" w:space="0" w:color="auto"/>
            </w:tcBorders>
          </w:tcPr>
          <w:p w14:paraId="771D46ED" w14:textId="4BD31C18"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+7.0</w:t>
            </w:r>
            <w:r w:rsidR="00952302" w:rsidRPr="00F25204">
              <w:rPr>
                <w:rFonts w:ascii="Arial" w:hAnsi="Arial" w:cs="Arial"/>
                <w:bCs/>
                <w:color w:val="000000"/>
                <w:sz w:val="18"/>
                <w:szCs w:val="18"/>
              </w:rPr>
              <w:t>%</w:t>
            </w:r>
          </w:p>
        </w:tc>
        <w:tc>
          <w:tcPr>
            <w:tcW w:w="1485" w:type="dxa"/>
            <w:gridSpan w:val="2"/>
            <w:tcBorders>
              <w:left w:val="single" w:sz="4" w:space="0" w:color="auto"/>
            </w:tcBorders>
            <w:vAlign w:val="center"/>
          </w:tcPr>
          <w:p w14:paraId="3936EE08" w14:textId="4EC1E781"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sidR="00701340">
              <w:rPr>
                <w:rFonts w:ascii="Arial" w:hAnsi="Arial" w:cs="Arial"/>
                <w:bCs/>
                <w:color w:val="000000" w:themeColor="text1"/>
                <w:sz w:val="18"/>
                <w:szCs w:val="18"/>
              </w:rPr>
              <w:t>3.9</w:t>
            </w:r>
            <w:r w:rsidRPr="009302F6">
              <w:rPr>
                <w:rFonts w:ascii="Arial" w:hAnsi="Arial" w:cs="Arial"/>
                <w:bCs/>
                <w:color w:val="000000" w:themeColor="text1"/>
                <w:sz w:val="18"/>
                <w:szCs w:val="18"/>
              </w:rPr>
              <w:t>B</w:t>
            </w:r>
          </w:p>
        </w:tc>
        <w:tc>
          <w:tcPr>
            <w:tcW w:w="1485" w:type="dxa"/>
          </w:tcPr>
          <w:p w14:paraId="0B566D2B" w14:textId="62D7EE6C"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104C2">
              <w:rPr>
                <w:rFonts w:ascii="Arial" w:hAnsi="Arial" w:cs="Arial"/>
                <w:bCs/>
                <w:color w:val="000000"/>
                <w:sz w:val="18"/>
                <w:szCs w:val="18"/>
              </w:rPr>
              <w:t>0.</w:t>
            </w:r>
            <w:r>
              <w:rPr>
                <w:rFonts w:ascii="Arial" w:hAnsi="Arial" w:cs="Arial"/>
                <w:bCs/>
                <w:color w:val="000000"/>
                <w:sz w:val="18"/>
                <w:szCs w:val="18"/>
              </w:rPr>
              <w:t>9</w:t>
            </w:r>
            <w:r w:rsidR="00952302" w:rsidRPr="000962D8">
              <w:rPr>
                <w:rFonts w:ascii="Arial" w:hAnsi="Arial" w:cs="Arial"/>
                <w:bCs/>
                <w:color w:val="000000"/>
                <w:sz w:val="18"/>
                <w:szCs w:val="18"/>
              </w:rPr>
              <w:t>%</w:t>
            </w:r>
          </w:p>
        </w:tc>
        <w:tc>
          <w:tcPr>
            <w:tcW w:w="1395" w:type="dxa"/>
          </w:tcPr>
          <w:p w14:paraId="0DA6D04F" w14:textId="503BC2A9"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+0.4</w:t>
            </w:r>
            <w:r w:rsidR="00952302" w:rsidRPr="00B46A14">
              <w:rPr>
                <w:rFonts w:ascii="Arial" w:hAnsi="Arial" w:cs="Arial"/>
                <w:bCs/>
                <w:color w:val="000000"/>
                <w:sz w:val="18"/>
                <w:szCs w:val="18"/>
              </w:rPr>
              <w:t>%</w:t>
            </w:r>
          </w:p>
        </w:tc>
      </w:tr>
      <w:tr w:rsidR="002124AA" w:rsidRPr="00F15260" w14:paraId="1C21F2B3" w14:textId="77777777" w:rsidTr="009279C8">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77777777" w:rsidR="002124AA" w:rsidRPr="00B86F96" w:rsidRDefault="002124AA" w:rsidP="009279C8">
            <w:pPr>
              <w:pStyle w:val="NoSpacing"/>
              <w:rPr>
                <w:rFonts w:ascii="Arial" w:eastAsia="Times New Roman"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Shrimp</w:t>
            </w:r>
          </w:p>
        </w:tc>
        <w:tc>
          <w:tcPr>
            <w:tcW w:w="1305" w:type="dxa"/>
          </w:tcPr>
          <w:p w14:paraId="36D07C29"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C5007">
              <w:rPr>
                <w:rFonts w:ascii="Arial" w:hAnsi="Arial" w:cs="Arial"/>
                <w:bCs/>
                <w:color w:val="000000" w:themeColor="text1"/>
                <w:sz w:val="18"/>
                <w:szCs w:val="18"/>
              </w:rPr>
              <w:t>$</w:t>
            </w:r>
            <w:r>
              <w:rPr>
                <w:rFonts w:ascii="Arial" w:hAnsi="Arial" w:cs="Arial"/>
                <w:bCs/>
                <w:color w:val="000000" w:themeColor="text1"/>
                <w:sz w:val="18"/>
                <w:szCs w:val="18"/>
              </w:rPr>
              <w:t>72</w:t>
            </w:r>
            <w:r w:rsidRPr="00DC5007">
              <w:rPr>
                <w:rFonts w:ascii="Arial" w:hAnsi="Arial" w:cs="Arial"/>
                <w:bCs/>
                <w:color w:val="000000" w:themeColor="text1"/>
                <w:sz w:val="18"/>
                <w:szCs w:val="18"/>
              </w:rPr>
              <w:t>M</w:t>
            </w:r>
          </w:p>
        </w:tc>
        <w:tc>
          <w:tcPr>
            <w:tcW w:w="1485" w:type="dxa"/>
          </w:tcPr>
          <w:p w14:paraId="77380689"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+7.7</w:t>
            </w:r>
            <w:r w:rsidRPr="00F25204">
              <w:rPr>
                <w:rFonts w:ascii="Arial" w:hAnsi="Arial" w:cs="Arial"/>
                <w:bCs/>
                <w:color w:val="000000"/>
                <w:sz w:val="18"/>
                <w:szCs w:val="18"/>
              </w:rPr>
              <w:t>%</w:t>
            </w:r>
          </w:p>
        </w:tc>
        <w:tc>
          <w:tcPr>
            <w:tcW w:w="1485" w:type="dxa"/>
            <w:tcBorders>
              <w:right w:val="single" w:sz="4" w:space="0" w:color="auto"/>
            </w:tcBorders>
          </w:tcPr>
          <w:p w14:paraId="3B5FA736"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+7.3</w:t>
            </w:r>
            <w:r w:rsidRPr="00F25204">
              <w:rPr>
                <w:rFonts w:ascii="Arial" w:hAnsi="Arial" w:cs="Arial"/>
                <w:bCs/>
                <w:color w:val="000000"/>
                <w:sz w:val="18"/>
                <w:szCs w:val="18"/>
              </w:rPr>
              <w:t>%</w:t>
            </w:r>
          </w:p>
        </w:tc>
        <w:tc>
          <w:tcPr>
            <w:tcW w:w="1485" w:type="dxa"/>
            <w:gridSpan w:val="2"/>
            <w:tcBorders>
              <w:left w:val="single" w:sz="4" w:space="0" w:color="auto"/>
            </w:tcBorders>
          </w:tcPr>
          <w:p w14:paraId="5F9E9CC1"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Pr>
                <w:rFonts w:ascii="Arial" w:hAnsi="Arial" w:cs="Arial"/>
                <w:bCs/>
                <w:color w:val="000000" w:themeColor="text1"/>
                <w:sz w:val="18"/>
                <w:szCs w:val="18"/>
              </w:rPr>
              <w:t>893</w:t>
            </w:r>
            <w:r w:rsidRPr="008B1982">
              <w:rPr>
                <w:rFonts w:ascii="Arial" w:hAnsi="Arial" w:cs="Arial"/>
                <w:bCs/>
                <w:color w:val="000000" w:themeColor="text1"/>
                <w:sz w:val="18"/>
                <w:szCs w:val="18"/>
              </w:rPr>
              <w:t>M</w:t>
            </w:r>
          </w:p>
        </w:tc>
        <w:tc>
          <w:tcPr>
            <w:tcW w:w="1485" w:type="dxa"/>
          </w:tcPr>
          <w:p w14:paraId="62F085A8"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Pr>
                <w:rFonts w:ascii="Arial" w:hAnsi="Arial" w:cs="Arial"/>
                <w:bCs/>
                <w:color w:val="000000"/>
                <w:sz w:val="18"/>
                <w:szCs w:val="18"/>
              </w:rPr>
              <w:t>1.7</w:t>
            </w:r>
            <w:r w:rsidRPr="000962D8">
              <w:rPr>
                <w:rFonts w:ascii="Arial" w:hAnsi="Arial" w:cs="Arial"/>
                <w:bCs/>
                <w:color w:val="000000"/>
                <w:sz w:val="18"/>
                <w:szCs w:val="18"/>
              </w:rPr>
              <w:t>%</w:t>
            </w:r>
          </w:p>
        </w:tc>
        <w:tc>
          <w:tcPr>
            <w:tcW w:w="1395" w:type="dxa"/>
          </w:tcPr>
          <w:p w14:paraId="40446D4D" w14:textId="77777777" w:rsidR="002124AA" w:rsidRPr="009302F6" w:rsidRDefault="002124AA" w:rsidP="009279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+1.1</w:t>
            </w:r>
            <w:r w:rsidRPr="00B46A14">
              <w:rPr>
                <w:rFonts w:ascii="Arial" w:hAnsi="Arial" w:cs="Arial"/>
                <w:bCs/>
                <w:color w:val="000000"/>
                <w:sz w:val="18"/>
                <w:szCs w:val="18"/>
              </w:rPr>
              <w:t>%</w:t>
            </w:r>
          </w:p>
        </w:tc>
      </w:tr>
      <w:tr w:rsidR="00952302" w:rsidRPr="00F15260" w14:paraId="31E0F648" w14:textId="77777777" w:rsidTr="00F553C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2695C6F0" w14:textId="2F399F49" w:rsidR="00952302" w:rsidRPr="00B86F96" w:rsidRDefault="00952302" w:rsidP="00952302">
            <w:pPr>
              <w:pStyle w:val="NoSpacing"/>
              <w:rPr>
                <w:rFonts w:ascii="Arial" w:hAnsi="Arial" w:cs="Arial"/>
                <w:b w:val="0"/>
                <w:bCs w:val="0"/>
                <w:color w:val="000000" w:themeColor="text1"/>
                <w:sz w:val="18"/>
                <w:szCs w:val="18"/>
              </w:rPr>
            </w:pPr>
            <w:r w:rsidRPr="00B86F96">
              <w:rPr>
                <w:rFonts w:ascii="Arial" w:eastAsia="Times New Roman" w:hAnsi="Arial" w:cs="Arial"/>
                <w:b w:val="0"/>
                <w:color w:val="000000" w:themeColor="text1"/>
                <w:sz w:val="18"/>
                <w:szCs w:val="18"/>
              </w:rPr>
              <w:t>Crab</w:t>
            </w:r>
          </w:p>
        </w:tc>
        <w:tc>
          <w:tcPr>
            <w:tcW w:w="1305" w:type="dxa"/>
          </w:tcPr>
          <w:p w14:paraId="5AFD9B5C" w14:textId="5824DBBC"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C5007">
              <w:rPr>
                <w:rFonts w:ascii="Arial" w:hAnsi="Arial" w:cs="Arial"/>
                <w:bCs/>
                <w:color w:val="000000" w:themeColor="text1"/>
                <w:sz w:val="18"/>
                <w:szCs w:val="18"/>
              </w:rPr>
              <w:t>$</w:t>
            </w:r>
            <w:r w:rsidR="00701340">
              <w:rPr>
                <w:rFonts w:ascii="Arial" w:hAnsi="Arial" w:cs="Arial"/>
                <w:bCs/>
                <w:color w:val="000000" w:themeColor="text1"/>
                <w:sz w:val="18"/>
                <w:szCs w:val="18"/>
              </w:rPr>
              <w:t>67</w:t>
            </w:r>
            <w:r w:rsidRPr="00DC5007">
              <w:rPr>
                <w:rFonts w:ascii="Arial" w:hAnsi="Arial" w:cs="Arial"/>
                <w:bCs/>
                <w:color w:val="000000" w:themeColor="text1"/>
                <w:sz w:val="18"/>
                <w:szCs w:val="18"/>
              </w:rPr>
              <w:t>M</w:t>
            </w:r>
          </w:p>
        </w:tc>
        <w:tc>
          <w:tcPr>
            <w:tcW w:w="1485" w:type="dxa"/>
          </w:tcPr>
          <w:p w14:paraId="4E3DFEC6" w14:textId="207430BE"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15.6</w:t>
            </w:r>
            <w:r w:rsidRPr="00F25204">
              <w:rPr>
                <w:rFonts w:ascii="Arial" w:hAnsi="Arial" w:cs="Arial"/>
                <w:bCs/>
                <w:color w:val="000000"/>
                <w:sz w:val="18"/>
                <w:szCs w:val="18"/>
              </w:rPr>
              <w:t>%</w:t>
            </w:r>
          </w:p>
        </w:tc>
        <w:tc>
          <w:tcPr>
            <w:tcW w:w="1485" w:type="dxa"/>
            <w:tcBorders>
              <w:right w:val="single" w:sz="4" w:space="0" w:color="auto"/>
            </w:tcBorders>
          </w:tcPr>
          <w:p w14:paraId="3B63D06A" w14:textId="008A6F9D"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21.3</w:t>
            </w:r>
            <w:r w:rsidRPr="00F25204">
              <w:rPr>
                <w:rFonts w:ascii="Arial" w:hAnsi="Arial" w:cs="Arial"/>
                <w:bCs/>
                <w:color w:val="000000"/>
                <w:sz w:val="18"/>
                <w:szCs w:val="18"/>
              </w:rPr>
              <w:t>%</w:t>
            </w:r>
          </w:p>
        </w:tc>
        <w:tc>
          <w:tcPr>
            <w:tcW w:w="1485" w:type="dxa"/>
            <w:gridSpan w:val="2"/>
            <w:tcBorders>
              <w:left w:val="single" w:sz="4" w:space="0" w:color="auto"/>
            </w:tcBorders>
            <w:vAlign w:val="center"/>
          </w:tcPr>
          <w:p w14:paraId="7F3F4E37" w14:textId="03194290"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Pr>
                <w:rFonts w:ascii="Arial" w:hAnsi="Arial" w:cs="Arial"/>
                <w:bCs/>
                <w:color w:val="000000" w:themeColor="text1"/>
                <w:sz w:val="18"/>
                <w:szCs w:val="18"/>
              </w:rPr>
              <w:t>1.1</w:t>
            </w:r>
            <w:r w:rsidRPr="009302F6">
              <w:rPr>
                <w:rFonts w:ascii="Arial" w:hAnsi="Arial" w:cs="Arial"/>
                <w:bCs/>
                <w:color w:val="000000" w:themeColor="text1"/>
                <w:sz w:val="18"/>
                <w:szCs w:val="18"/>
              </w:rPr>
              <w:t>B</w:t>
            </w:r>
          </w:p>
        </w:tc>
        <w:tc>
          <w:tcPr>
            <w:tcW w:w="1485" w:type="dxa"/>
          </w:tcPr>
          <w:p w14:paraId="3AA8A0C5" w14:textId="6A421D62"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sidR="00701340">
              <w:rPr>
                <w:rFonts w:ascii="Arial" w:hAnsi="Arial" w:cs="Arial"/>
                <w:bCs/>
                <w:color w:val="000000"/>
                <w:sz w:val="18"/>
                <w:szCs w:val="18"/>
              </w:rPr>
              <w:t>9.2</w:t>
            </w:r>
            <w:r w:rsidRPr="000962D8">
              <w:rPr>
                <w:rFonts w:ascii="Arial" w:hAnsi="Arial" w:cs="Arial"/>
                <w:bCs/>
                <w:color w:val="000000"/>
                <w:sz w:val="18"/>
                <w:szCs w:val="18"/>
              </w:rPr>
              <w:t>%</w:t>
            </w:r>
          </w:p>
        </w:tc>
        <w:tc>
          <w:tcPr>
            <w:tcW w:w="1395" w:type="dxa"/>
          </w:tcPr>
          <w:p w14:paraId="722C8B17" w14:textId="489AC1C9"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6A14">
              <w:rPr>
                <w:rFonts w:ascii="Arial" w:hAnsi="Arial" w:cs="Arial"/>
                <w:bCs/>
                <w:color w:val="000000"/>
                <w:sz w:val="18"/>
                <w:szCs w:val="18"/>
              </w:rPr>
              <w:t>-</w:t>
            </w:r>
            <w:r w:rsidR="00701340">
              <w:rPr>
                <w:rFonts w:ascii="Arial" w:hAnsi="Arial" w:cs="Arial"/>
                <w:bCs/>
                <w:color w:val="000000"/>
                <w:sz w:val="18"/>
                <w:szCs w:val="18"/>
              </w:rPr>
              <w:t>10.0</w:t>
            </w:r>
            <w:r w:rsidRPr="00B46A14">
              <w:rPr>
                <w:rFonts w:ascii="Arial" w:hAnsi="Arial" w:cs="Arial"/>
                <w:bCs/>
                <w:color w:val="000000"/>
                <w:sz w:val="18"/>
                <w:szCs w:val="18"/>
              </w:rPr>
              <w:t>%</w:t>
            </w:r>
          </w:p>
        </w:tc>
      </w:tr>
      <w:tr w:rsidR="00952302" w:rsidRPr="00F15260" w14:paraId="736C83C1"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EF92107" w14:textId="77777777" w:rsidR="00952302" w:rsidRPr="00B86F96" w:rsidRDefault="00952302" w:rsidP="00952302">
            <w:pPr>
              <w:pStyle w:val="NoSpacing"/>
              <w:rPr>
                <w:rFonts w:ascii="Arial" w:eastAsia="Times New Roman"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Lobster</w:t>
            </w:r>
          </w:p>
        </w:tc>
        <w:tc>
          <w:tcPr>
            <w:tcW w:w="1305" w:type="dxa"/>
          </w:tcPr>
          <w:p w14:paraId="2674DA18" w14:textId="5E5249B7"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C5007">
              <w:rPr>
                <w:rFonts w:ascii="Arial" w:hAnsi="Arial" w:cs="Arial"/>
                <w:bCs/>
                <w:color w:val="000000" w:themeColor="text1"/>
                <w:sz w:val="18"/>
                <w:szCs w:val="18"/>
              </w:rPr>
              <w:t>$</w:t>
            </w:r>
            <w:r w:rsidR="00701340">
              <w:rPr>
                <w:rFonts w:ascii="Arial" w:hAnsi="Arial" w:cs="Arial"/>
                <w:bCs/>
                <w:color w:val="000000" w:themeColor="text1"/>
                <w:sz w:val="18"/>
                <w:szCs w:val="18"/>
              </w:rPr>
              <w:t>20</w:t>
            </w:r>
            <w:r w:rsidRPr="00DC5007">
              <w:rPr>
                <w:rFonts w:ascii="Arial" w:hAnsi="Arial" w:cs="Arial"/>
                <w:bCs/>
                <w:color w:val="000000" w:themeColor="text1"/>
                <w:sz w:val="18"/>
                <w:szCs w:val="18"/>
              </w:rPr>
              <w:t>M</w:t>
            </w:r>
          </w:p>
        </w:tc>
        <w:tc>
          <w:tcPr>
            <w:tcW w:w="1485" w:type="dxa"/>
          </w:tcPr>
          <w:p w14:paraId="6BDF884F" w14:textId="49AA6250" w:rsidR="00952302" w:rsidRPr="009302F6" w:rsidRDefault="00701340"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0.0</w:t>
            </w:r>
            <w:r w:rsidR="00952302" w:rsidRPr="00F25204">
              <w:rPr>
                <w:rFonts w:ascii="Arial" w:hAnsi="Arial" w:cs="Arial"/>
                <w:bCs/>
                <w:color w:val="000000"/>
                <w:sz w:val="18"/>
                <w:szCs w:val="18"/>
              </w:rPr>
              <w:t>%</w:t>
            </w:r>
          </w:p>
        </w:tc>
        <w:tc>
          <w:tcPr>
            <w:tcW w:w="1485" w:type="dxa"/>
            <w:tcBorders>
              <w:right w:val="single" w:sz="4" w:space="0" w:color="auto"/>
            </w:tcBorders>
          </w:tcPr>
          <w:p w14:paraId="797D2460" w14:textId="07866EB9"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7.4</w:t>
            </w:r>
            <w:r w:rsidRPr="00F25204">
              <w:rPr>
                <w:rFonts w:ascii="Arial" w:hAnsi="Arial" w:cs="Arial"/>
                <w:bCs/>
                <w:color w:val="000000"/>
                <w:sz w:val="18"/>
                <w:szCs w:val="18"/>
              </w:rPr>
              <w:t>%</w:t>
            </w:r>
          </w:p>
        </w:tc>
        <w:tc>
          <w:tcPr>
            <w:tcW w:w="1485" w:type="dxa"/>
            <w:gridSpan w:val="2"/>
            <w:tcBorders>
              <w:left w:val="single" w:sz="4" w:space="0" w:color="auto"/>
            </w:tcBorders>
          </w:tcPr>
          <w:p w14:paraId="50E96372" w14:textId="25742C54"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701340">
              <w:rPr>
                <w:rFonts w:ascii="Arial" w:hAnsi="Arial" w:cs="Arial"/>
                <w:bCs/>
                <w:color w:val="000000" w:themeColor="text1"/>
                <w:sz w:val="18"/>
                <w:szCs w:val="18"/>
              </w:rPr>
              <w:t>386</w:t>
            </w:r>
            <w:r w:rsidRPr="008B1982">
              <w:rPr>
                <w:rFonts w:ascii="Arial" w:hAnsi="Arial" w:cs="Arial"/>
                <w:bCs/>
                <w:color w:val="000000" w:themeColor="text1"/>
                <w:sz w:val="18"/>
                <w:szCs w:val="18"/>
              </w:rPr>
              <w:t>M</w:t>
            </w:r>
          </w:p>
        </w:tc>
        <w:tc>
          <w:tcPr>
            <w:tcW w:w="1485" w:type="dxa"/>
          </w:tcPr>
          <w:p w14:paraId="2498EDE6" w14:textId="23B9915A"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sidR="00701340">
              <w:rPr>
                <w:rFonts w:ascii="Arial" w:hAnsi="Arial" w:cs="Arial"/>
                <w:bCs/>
                <w:color w:val="000000"/>
                <w:sz w:val="18"/>
                <w:szCs w:val="18"/>
              </w:rPr>
              <w:t>3.1</w:t>
            </w:r>
            <w:r w:rsidRPr="000962D8">
              <w:rPr>
                <w:rFonts w:ascii="Arial" w:hAnsi="Arial" w:cs="Arial"/>
                <w:bCs/>
                <w:color w:val="000000"/>
                <w:sz w:val="18"/>
                <w:szCs w:val="18"/>
              </w:rPr>
              <w:t>%</w:t>
            </w:r>
          </w:p>
        </w:tc>
        <w:tc>
          <w:tcPr>
            <w:tcW w:w="1395" w:type="dxa"/>
          </w:tcPr>
          <w:p w14:paraId="19EB5019" w14:textId="7C242F27"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6A14">
              <w:rPr>
                <w:rFonts w:ascii="Arial" w:hAnsi="Arial" w:cs="Arial"/>
                <w:bCs/>
                <w:color w:val="000000"/>
                <w:sz w:val="18"/>
                <w:szCs w:val="18"/>
              </w:rPr>
              <w:t>-</w:t>
            </w:r>
            <w:r>
              <w:rPr>
                <w:rFonts w:ascii="Arial" w:hAnsi="Arial" w:cs="Arial"/>
                <w:bCs/>
                <w:color w:val="000000"/>
                <w:sz w:val="18"/>
                <w:szCs w:val="18"/>
              </w:rPr>
              <w:t>1</w:t>
            </w:r>
            <w:r w:rsidR="00701340">
              <w:rPr>
                <w:rFonts w:ascii="Arial" w:hAnsi="Arial" w:cs="Arial"/>
                <w:bCs/>
                <w:color w:val="000000"/>
                <w:sz w:val="18"/>
                <w:szCs w:val="18"/>
              </w:rPr>
              <w:t>7.6</w:t>
            </w:r>
            <w:r w:rsidRPr="00B46A14">
              <w:rPr>
                <w:rFonts w:ascii="Arial" w:hAnsi="Arial" w:cs="Arial"/>
                <w:bCs/>
                <w:color w:val="000000"/>
                <w:sz w:val="18"/>
                <w:szCs w:val="18"/>
              </w:rPr>
              <w:t>%</w:t>
            </w:r>
          </w:p>
        </w:tc>
      </w:tr>
      <w:tr w:rsidR="00952302" w:rsidRPr="00F15260" w14:paraId="51DC30D0" w14:textId="77777777" w:rsidTr="00FC65E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31B055E4" w14:textId="77777777" w:rsidR="00952302" w:rsidRPr="00B86F96" w:rsidRDefault="00952302" w:rsidP="0095230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Tilapia</w:t>
            </w:r>
          </w:p>
        </w:tc>
        <w:tc>
          <w:tcPr>
            <w:tcW w:w="1305" w:type="dxa"/>
          </w:tcPr>
          <w:p w14:paraId="54DBCBE4" w14:textId="7A36EEAD"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C5007">
              <w:rPr>
                <w:rFonts w:ascii="Arial" w:hAnsi="Arial" w:cs="Arial"/>
                <w:bCs/>
                <w:color w:val="000000" w:themeColor="text1"/>
                <w:sz w:val="18"/>
                <w:szCs w:val="18"/>
              </w:rPr>
              <w:t>$</w:t>
            </w:r>
            <w:r>
              <w:rPr>
                <w:rFonts w:ascii="Arial" w:hAnsi="Arial" w:cs="Arial"/>
                <w:bCs/>
                <w:color w:val="000000" w:themeColor="text1"/>
                <w:sz w:val="18"/>
                <w:szCs w:val="18"/>
              </w:rPr>
              <w:t>2</w:t>
            </w:r>
            <w:r w:rsidR="00701340">
              <w:rPr>
                <w:rFonts w:ascii="Arial" w:hAnsi="Arial" w:cs="Arial"/>
                <w:bCs/>
                <w:color w:val="000000" w:themeColor="text1"/>
                <w:sz w:val="18"/>
                <w:szCs w:val="18"/>
              </w:rPr>
              <w:t>7</w:t>
            </w:r>
            <w:r w:rsidRPr="00DC5007">
              <w:rPr>
                <w:rFonts w:ascii="Arial" w:hAnsi="Arial" w:cs="Arial"/>
                <w:bCs/>
                <w:color w:val="000000" w:themeColor="text1"/>
                <w:sz w:val="18"/>
                <w:szCs w:val="18"/>
              </w:rPr>
              <w:t>M</w:t>
            </w:r>
          </w:p>
        </w:tc>
        <w:tc>
          <w:tcPr>
            <w:tcW w:w="1485" w:type="dxa"/>
          </w:tcPr>
          <w:p w14:paraId="0F29CF49" w14:textId="738D4B7D"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29.2</w:t>
            </w:r>
            <w:r w:rsidRPr="00F25204">
              <w:rPr>
                <w:rFonts w:ascii="Arial" w:hAnsi="Arial" w:cs="Arial"/>
                <w:bCs/>
                <w:color w:val="000000"/>
                <w:sz w:val="18"/>
                <w:szCs w:val="18"/>
              </w:rPr>
              <w:t>%</w:t>
            </w:r>
          </w:p>
        </w:tc>
        <w:tc>
          <w:tcPr>
            <w:tcW w:w="1485" w:type="dxa"/>
            <w:tcBorders>
              <w:right w:val="single" w:sz="4" w:space="0" w:color="auto"/>
            </w:tcBorders>
          </w:tcPr>
          <w:p w14:paraId="5201D4BF" w14:textId="457993C4" w:rsidR="00952302" w:rsidRPr="009302F6" w:rsidRDefault="008104C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36.6</w:t>
            </w:r>
            <w:r w:rsidR="00952302" w:rsidRPr="00F25204">
              <w:rPr>
                <w:rFonts w:ascii="Arial" w:hAnsi="Arial" w:cs="Arial"/>
                <w:bCs/>
                <w:color w:val="000000"/>
                <w:sz w:val="18"/>
                <w:szCs w:val="18"/>
              </w:rPr>
              <w:t>%</w:t>
            </w:r>
          </w:p>
        </w:tc>
        <w:tc>
          <w:tcPr>
            <w:tcW w:w="1485" w:type="dxa"/>
            <w:gridSpan w:val="2"/>
            <w:tcBorders>
              <w:left w:val="single" w:sz="4" w:space="0" w:color="auto"/>
            </w:tcBorders>
          </w:tcPr>
          <w:p w14:paraId="2B4B8A31" w14:textId="6C4B5BC2"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701340">
              <w:rPr>
                <w:rFonts w:ascii="Arial" w:hAnsi="Arial" w:cs="Arial"/>
                <w:bCs/>
                <w:color w:val="000000" w:themeColor="text1"/>
                <w:sz w:val="18"/>
                <w:szCs w:val="18"/>
              </w:rPr>
              <w:t>264</w:t>
            </w:r>
            <w:r w:rsidRPr="008B1982">
              <w:rPr>
                <w:rFonts w:ascii="Arial" w:hAnsi="Arial" w:cs="Arial"/>
                <w:bCs/>
                <w:color w:val="000000" w:themeColor="text1"/>
                <w:sz w:val="18"/>
                <w:szCs w:val="18"/>
              </w:rPr>
              <w:t>M</w:t>
            </w:r>
          </w:p>
        </w:tc>
        <w:tc>
          <w:tcPr>
            <w:tcW w:w="1485" w:type="dxa"/>
          </w:tcPr>
          <w:p w14:paraId="0C01355F" w14:textId="276CB9A9"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sidR="00701340">
              <w:rPr>
                <w:rFonts w:ascii="Arial" w:hAnsi="Arial" w:cs="Arial"/>
                <w:bCs/>
                <w:color w:val="000000"/>
                <w:sz w:val="18"/>
                <w:szCs w:val="18"/>
              </w:rPr>
              <w:t>0.1</w:t>
            </w:r>
            <w:r w:rsidRPr="000962D8">
              <w:rPr>
                <w:rFonts w:ascii="Arial" w:hAnsi="Arial" w:cs="Arial"/>
                <w:bCs/>
                <w:color w:val="000000"/>
                <w:sz w:val="18"/>
                <w:szCs w:val="18"/>
              </w:rPr>
              <w:t>%</w:t>
            </w:r>
          </w:p>
        </w:tc>
        <w:tc>
          <w:tcPr>
            <w:tcW w:w="1395" w:type="dxa"/>
          </w:tcPr>
          <w:p w14:paraId="25694080" w14:textId="1FC39A17"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+3.0</w:t>
            </w:r>
            <w:r w:rsidR="00952302" w:rsidRPr="00B46A14">
              <w:rPr>
                <w:rFonts w:ascii="Arial" w:hAnsi="Arial" w:cs="Arial"/>
                <w:bCs/>
                <w:color w:val="000000"/>
                <w:sz w:val="18"/>
                <w:szCs w:val="18"/>
              </w:rPr>
              <w:t>%</w:t>
            </w:r>
          </w:p>
        </w:tc>
      </w:tr>
      <w:tr w:rsidR="00952302" w:rsidRPr="00F15260" w14:paraId="7C7563A9"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3A5136BA" w14:textId="181EBAFD" w:rsidR="00952302" w:rsidRPr="00B86F96" w:rsidRDefault="00952302" w:rsidP="0095230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Cod</w:t>
            </w:r>
          </w:p>
        </w:tc>
        <w:tc>
          <w:tcPr>
            <w:tcW w:w="1305" w:type="dxa"/>
          </w:tcPr>
          <w:p w14:paraId="58AD5875" w14:textId="15359366"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C5007">
              <w:rPr>
                <w:rFonts w:ascii="Arial" w:hAnsi="Arial" w:cs="Arial"/>
                <w:bCs/>
                <w:color w:val="000000" w:themeColor="text1"/>
                <w:sz w:val="18"/>
                <w:szCs w:val="18"/>
              </w:rPr>
              <w:t>$</w:t>
            </w:r>
            <w:r>
              <w:rPr>
                <w:rFonts w:ascii="Arial" w:hAnsi="Arial" w:cs="Arial"/>
                <w:bCs/>
                <w:color w:val="000000" w:themeColor="text1"/>
                <w:sz w:val="18"/>
                <w:szCs w:val="18"/>
              </w:rPr>
              <w:t>2</w:t>
            </w:r>
            <w:r w:rsidR="00701340">
              <w:rPr>
                <w:rFonts w:ascii="Arial" w:hAnsi="Arial" w:cs="Arial"/>
                <w:bCs/>
                <w:color w:val="000000" w:themeColor="text1"/>
                <w:sz w:val="18"/>
                <w:szCs w:val="18"/>
              </w:rPr>
              <w:t>6</w:t>
            </w:r>
            <w:r w:rsidRPr="00DC5007">
              <w:rPr>
                <w:rFonts w:ascii="Arial" w:hAnsi="Arial" w:cs="Arial"/>
                <w:bCs/>
                <w:color w:val="000000" w:themeColor="text1"/>
                <w:sz w:val="18"/>
                <w:szCs w:val="18"/>
              </w:rPr>
              <w:t>M</w:t>
            </w:r>
          </w:p>
        </w:tc>
        <w:tc>
          <w:tcPr>
            <w:tcW w:w="1485" w:type="dxa"/>
          </w:tcPr>
          <w:p w14:paraId="0D276702" w14:textId="1F9C585E" w:rsidR="00952302" w:rsidRPr="009302F6" w:rsidRDefault="00701340"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+4.3</w:t>
            </w:r>
            <w:r w:rsidR="00952302" w:rsidRPr="00F25204">
              <w:rPr>
                <w:rFonts w:ascii="Arial" w:hAnsi="Arial" w:cs="Arial"/>
                <w:bCs/>
                <w:color w:val="000000"/>
                <w:sz w:val="18"/>
                <w:szCs w:val="18"/>
              </w:rPr>
              <w:t>%</w:t>
            </w:r>
          </w:p>
        </w:tc>
        <w:tc>
          <w:tcPr>
            <w:tcW w:w="1485" w:type="dxa"/>
            <w:tcBorders>
              <w:right w:val="single" w:sz="4" w:space="0" w:color="auto"/>
            </w:tcBorders>
          </w:tcPr>
          <w:p w14:paraId="3BA77DC9" w14:textId="6192A763" w:rsidR="00952302" w:rsidRPr="009302F6" w:rsidRDefault="00701340"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+1.7</w:t>
            </w:r>
            <w:r w:rsidR="00952302" w:rsidRPr="00F25204">
              <w:rPr>
                <w:rFonts w:ascii="Arial" w:hAnsi="Arial" w:cs="Arial"/>
                <w:bCs/>
                <w:color w:val="000000"/>
                <w:sz w:val="18"/>
                <w:szCs w:val="18"/>
              </w:rPr>
              <w:t>%</w:t>
            </w:r>
          </w:p>
        </w:tc>
        <w:tc>
          <w:tcPr>
            <w:tcW w:w="1485" w:type="dxa"/>
            <w:gridSpan w:val="2"/>
            <w:tcBorders>
              <w:left w:val="single" w:sz="4" w:space="0" w:color="auto"/>
            </w:tcBorders>
          </w:tcPr>
          <w:p w14:paraId="23915B7E" w14:textId="2371AA22"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701340">
              <w:rPr>
                <w:rFonts w:ascii="Arial" w:hAnsi="Arial" w:cs="Arial"/>
                <w:bCs/>
                <w:color w:val="000000" w:themeColor="text1"/>
                <w:sz w:val="18"/>
                <w:szCs w:val="18"/>
              </w:rPr>
              <w:t>257</w:t>
            </w:r>
            <w:r w:rsidRPr="008B1982">
              <w:rPr>
                <w:rFonts w:ascii="Arial" w:hAnsi="Arial" w:cs="Arial"/>
                <w:bCs/>
                <w:color w:val="000000" w:themeColor="text1"/>
                <w:sz w:val="18"/>
                <w:szCs w:val="18"/>
              </w:rPr>
              <w:t>M</w:t>
            </w:r>
          </w:p>
        </w:tc>
        <w:tc>
          <w:tcPr>
            <w:tcW w:w="1485" w:type="dxa"/>
          </w:tcPr>
          <w:p w14:paraId="1A6FB197" w14:textId="6EC64F0A"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5.3</w:t>
            </w:r>
            <w:r w:rsidRPr="000962D8">
              <w:rPr>
                <w:rFonts w:ascii="Arial" w:hAnsi="Arial" w:cs="Arial"/>
                <w:bCs/>
                <w:color w:val="000000"/>
                <w:sz w:val="18"/>
                <w:szCs w:val="18"/>
              </w:rPr>
              <w:t>%</w:t>
            </w:r>
          </w:p>
        </w:tc>
        <w:tc>
          <w:tcPr>
            <w:tcW w:w="1395" w:type="dxa"/>
          </w:tcPr>
          <w:p w14:paraId="49FCA5E7" w14:textId="0515C470"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6.5</w:t>
            </w:r>
            <w:r w:rsidRPr="00B46A14">
              <w:rPr>
                <w:rFonts w:ascii="Arial" w:hAnsi="Arial" w:cs="Arial"/>
                <w:bCs/>
                <w:color w:val="000000"/>
                <w:sz w:val="18"/>
                <w:szCs w:val="18"/>
              </w:rPr>
              <w:t>%</w:t>
            </w:r>
          </w:p>
        </w:tc>
      </w:tr>
      <w:tr w:rsidR="00952302" w:rsidRPr="00F15260" w14:paraId="2239F66F" w14:textId="77777777" w:rsidTr="00F553C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B33CC7E" w14:textId="4E927158" w:rsidR="00952302" w:rsidRPr="00B86F96" w:rsidRDefault="00952302" w:rsidP="0095230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Trout</w:t>
            </w:r>
          </w:p>
        </w:tc>
        <w:tc>
          <w:tcPr>
            <w:tcW w:w="1305" w:type="dxa"/>
          </w:tcPr>
          <w:p w14:paraId="7D38B4EB" w14:textId="49ABFFA1"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C5007">
              <w:rPr>
                <w:rFonts w:ascii="Arial" w:hAnsi="Arial" w:cs="Arial"/>
                <w:bCs/>
                <w:color w:val="000000" w:themeColor="text1"/>
                <w:sz w:val="18"/>
                <w:szCs w:val="18"/>
              </w:rPr>
              <w:t>$</w:t>
            </w:r>
            <w:r w:rsidR="00701340">
              <w:rPr>
                <w:rFonts w:ascii="Arial" w:hAnsi="Arial" w:cs="Arial"/>
                <w:bCs/>
                <w:color w:val="000000" w:themeColor="text1"/>
                <w:sz w:val="18"/>
                <w:szCs w:val="18"/>
              </w:rPr>
              <w:t>20</w:t>
            </w:r>
            <w:r w:rsidRPr="00DC5007">
              <w:rPr>
                <w:rFonts w:ascii="Arial" w:hAnsi="Arial" w:cs="Arial"/>
                <w:bCs/>
                <w:color w:val="000000" w:themeColor="text1"/>
                <w:sz w:val="18"/>
                <w:szCs w:val="18"/>
              </w:rPr>
              <w:t>M</w:t>
            </w:r>
          </w:p>
        </w:tc>
        <w:tc>
          <w:tcPr>
            <w:tcW w:w="1485" w:type="dxa"/>
          </w:tcPr>
          <w:p w14:paraId="03818F97" w14:textId="3E7D0B31"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22.9</w:t>
            </w:r>
            <w:r w:rsidRPr="00F25204">
              <w:rPr>
                <w:rFonts w:ascii="Arial" w:hAnsi="Arial" w:cs="Arial"/>
                <w:bCs/>
                <w:color w:val="000000"/>
                <w:sz w:val="18"/>
                <w:szCs w:val="18"/>
              </w:rPr>
              <w:t>%</w:t>
            </w:r>
          </w:p>
        </w:tc>
        <w:tc>
          <w:tcPr>
            <w:tcW w:w="1485" w:type="dxa"/>
            <w:tcBorders>
              <w:right w:val="single" w:sz="4" w:space="0" w:color="auto"/>
            </w:tcBorders>
          </w:tcPr>
          <w:p w14:paraId="1C6E3CD8" w14:textId="196DB2E9" w:rsidR="00952302" w:rsidRPr="009302F6" w:rsidRDefault="008104C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30.9</w:t>
            </w:r>
            <w:r w:rsidR="00952302" w:rsidRPr="00F25204">
              <w:rPr>
                <w:rFonts w:ascii="Arial" w:hAnsi="Arial" w:cs="Arial"/>
                <w:bCs/>
                <w:color w:val="000000"/>
                <w:sz w:val="18"/>
                <w:szCs w:val="18"/>
              </w:rPr>
              <w:t>%</w:t>
            </w:r>
          </w:p>
        </w:tc>
        <w:tc>
          <w:tcPr>
            <w:tcW w:w="1485" w:type="dxa"/>
            <w:gridSpan w:val="2"/>
            <w:tcBorders>
              <w:left w:val="single" w:sz="4" w:space="0" w:color="auto"/>
            </w:tcBorders>
          </w:tcPr>
          <w:p w14:paraId="4C20EBA8" w14:textId="1D59E66A" w:rsidR="00952302" w:rsidRPr="009302F6" w:rsidRDefault="0095230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701340">
              <w:rPr>
                <w:rFonts w:ascii="Arial" w:hAnsi="Arial" w:cs="Arial"/>
                <w:bCs/>
                <w:color w:val="000000" w:themeColor="text1"/>
                <w:sz w:val="18"/>
                <w:szCs w:val="18"/>
              </w:rPr>
              <w:t>223</w:t>
            </w:r>
            <w:r w:rsidRPr="008B1982">
              <w:rPr>
                <w:rFonts w:ascii="Arial" w:hAnsi="Arial" w:cs="Arial"/>
                <w:bCs/>
                <w:color w:val="000000" w:themeColor="text1"/>
                <w:sz w:val="18"/>
                <w:szCs w:val="18"/>
              </w:rPr>
              <w:t>M</w:t>
            </w:r>
          </w:p>
        </w:tc>
        <w:tc>
          <w:tcPr>
            <w:tcW w:w="1485" w:type="dxa"/>
          </w:tcPr>
          <w:p w14:paraId="25FD66EC" w14:textId="7E06733B" w:rsidR="00952302" w:rsidRPr="009302F6" w:rsidRDefault="00701340"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+2.4</w:t>
            </w:r>
            <w:r w:rsidR="00952302" w:rsidRPr="000962D8">
              <w:rPr>
                <w:rFonts w:ascii="Arial" w:hAnsi="Arial" w:cs="Arial"/>
                <w:bCs/>
                <w:color w:val="000000"/>
                <w:sz w:val="18"/>
                <w:szCs w:val="18"/>
              </w:rPr>
              <w:t>%</w:t>
            </w:r>
          </w:p>
        </w:tc>
        <w:tc>
          <w:tcPr>
            <w:tcW w:w="1395" w:type="dxa"/>
          </w:tcPr>
          <w:p w14:paraId="05622BE0" w14:textId="01EF37F7" w:rsidR="00952302" w:rsidRPr="009302F6" w:rsidRDefault="008104C2" w:rsidP="009523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5.4</w:t>
            </w:r>
            <w:r w:rsidR="00952302" w:rsidRPr="00B46A14">
              <w:rPr>
                <w:rFonts w:ascii="Arial" w:hAnsi="Arial" w:cs="Arial"/>
                <w:bCs/>
                <w:color w:val="000000"/>
                <w:sz w:val="18"/>
                <w:szCs w:val="18"/>
              </w:rPr>
              <w:t>%</w:t>
            </w:r>
          </w:p>
        </w:tc>
      </w:tr>
      <w:tr w:rsidR="00952302" w:rsidRPr="00F15260" w14:paraId="653995BC"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7FB53F9F" w:rsidR="00952302" w:rsidRPr="00B86F96" w:rsidRDefault="00952302" w:rsidP="0095230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 salad</w:t>
            </w:r>
          </w:p>
        </w:tc>
        <w:tc>
          <w:tcPr>
            <w:tcW w:w="1305" w:type="dxa"/>
          </w:tcPr>
          <w:p w14:paraId="6A9D6AFB" w14:textId="2E6C2AB8"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C5007">
              <w:rPr>
                <w:rFonts w:ascii="Arial" w:hAnsi="Arial" w:cs="Arial"/>
                <w:bCs/>
                <w:color w:val="000000" w:themeColor="text1"/>
                <w:sz w:val="18"/>
                <w:szCs w:val="18"/>
              </w:rPr>
              <w:t>$</w:t>
            </w:r>
            <w:r w:rsidR="00701340">
              <w:rPr>
                <w:rFonts w:ascii="Arial" w:hAnsi="Arial" w:cs="Arial"/>
                <w:bCs/>
                <w:color w:val="000000" w:themeColor="text1"/>
                <w:sz w:val="18"/>
                <w:szCs w:val="18"/>
              </w:rPr>
              <w:t>8</w:t>
            </w:r>
            <w:r w:rsidRPr="00DC5007">
              <w:rPr>
                <w:rFonts w:ascii="Arial" w:hAnsi="Arial" w:cs="Arial"/>
                <w:bCs/>
                <w:color w:val="000000" w:themeColor="text1"/>
                <w:sz w:val="18"/>
                <w:szCs w:val="18"/>
              </w:rPr>
              <w:t>M</w:t>
            </w:r>
          </w:p>
        </w:tc>
        <w:tc>
          <w:tcPr>
            <w:tcW w:w="1485" w:type="dxa"/>
          </w:tcPr>
          <w:p w14:paraId="341E205C" w14:textId="15EAF360"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13.6</w:t>
            </w:r>
            <w:r w:rsidRPr="00F25204">
              <w:rPr>
                <w:rFonts w:ascii="Arial" w:hAnsi="Arial" w:cs="Arial"/>
                <w:bCs/>
                <w:color w:val="000000"/>
                <w:sz w:val="18"/>
                <w:szCs w:val="18"/>
              </w:rPr>
              <w:t>%</w:t>
            </w:r>
          </w:p>
        </w:tc>
        <w:tc>
          <w:tcPr>
            <w:tcW w:w="1485" w:type="dxa"/>
            <w:tcBorders>
              <w:right w:val="single" w:sz="4" w:space="0" w:color="auto"/>
            </w:tcBorders>
          </w:tcPr>
          <w:p w14:paraId="02CC48F6" w14:textId="3BE35406"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701340">
              <w:rPr>
                <w:rFonts w:ascii="Arial" w:hAnsi="Arial" w:cs="Arial"/>
                <w:bCs/>
                <w:color w:val="000000"/>
                <w:sz w:val="18"/>
                <w:szCs w:val="18"/>
              </w:rPr>
              <w:t>20.0</w:t>
            </w:r>
            <w:r w:rsidRPr="00F25204">
              <w:rPr>
                <w:rFonts w:ascii="Arial" w:hAnsi="Arial" w:cs="Arial"/>
                <w:bCs/>
                <w:color w:val="000000"/>
                <w:sz w:val="18"/>
                <w:szCs w:val="18"/>
              </w:rPr>
              <w:t>%</w:t>
            </w:r>
          </w:p>
        </w:tc>
        <w:tc>
          <w:tcPr>
            <w:tcW w:w="1485" w:type="dxa"/>
            <w:gridSpan w:val="2"/>
            <w:tcBorders>
              <w:left w:val="single" w:sz="4" w:space="0" w:color="auto"/>
            </w:tcBorders>
          </w:tcPr>
          <w:p w14:paraId="7217A92E" w14:textId="0F35272E" w:rsidR="00952302" w:rsidRPr="009302F6" w:rsidRDefault="0095230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701340">
              <w:rPr>
                <w:rFonts w:ascii="Arial" w:hAnsi="Arial" w:cs="Arial"/>
                <w:bCs/>
                <w:color w:val="000000" w:themeColor="text1"/>
                <w:sz w:val="18"/>
                <w:szCs w:val="18"/>
              </w:rPr>
              <w:t>122</w:t>
            </w:r>
            <w:r w:rsidRPr="008B1982">
              <w:rPr>
                <w:rFonts w:ascii="Arial" w:hAnsi="Arial" w:cs="Arial"/>
                <w:bCs/>
                <w:color w:val="000000" w:themeColor="text1"/>
                <w:sz w:val="18"/>
                <w:szCs w:val="18"/>
              </w:rPr>
              <w:t>M</w:t>
            </w:r>
          </w:p>
        </w:tc>
        <w:tc>
          <w:tcPr>
            <w:tcW w:w="1485" w:type="dxa"/>
          </w:tcPr>
          <w:p w14:paraId="10C2432D" w14:textId="241779C8" w:rsidR="00952302" w:rsidRPr="009302F6" w:rsidRDefault="008104C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-5.</w:t>
            </w:r>
            <w:r w:rsidR="00701340">
              <w:rPr>
                <w:rFonts w:ascii="Arial" w:hAnsi="Arial" w:cs="Arial"/>
                <w:bCs/>
                <w:color w:val="000000"/>
                <w:sz w:val="18"/>
                <w:szCs w:val="18"/>
              </w:rPr>
              <w:t>7</w:t>
            </w:r>
            <w:r w:rsidR="00952302" w:rsidRPr="000962D8">
              <w:rPr>
                <w:rFonts w:ascii="Arial" w:hAnsi="Arial" w:cs="Arial"/>
                <w:bCs/>
                <w:color w:val="000000"/>
                <w:sz w:val="18"/>
                <w:szCs w:val="18"/>
              </w:rPr>
              <w:t>%</w:t>
            </w:r>
          </w:p>
        </w:tc>
        <w:tc>
          <w:tcPr>
            <w:tcW w:w="1395" w:type="dxa"/>
          </w:tcPr>
          <w:p w14:paraId="0797CA53" w14:textId="41A0DE3B" w:rsidR="00952302" w:rsidRPr="009302F6" w:rsidRDefault="008104C2" w:rsidP="009523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-7.</w:t>
            </w:r>
            <w:r w:rsidR="00701340">
              <w:rPr>
                <w:rFonts w:ascii="Arial" w:hAnsi="Arial" w:cs="Arial"/>
                <w:bCs/>
                <w:color w:val="000000"/>
                <w:sz w:val="18"/>
                <w:szCs w:val="18"/>
              </w:rPr>
              <w:t>7</w:t>
            </w:r>
            <w:r w:rsidR="00952302" w:rsidRPr="00B46A14">
              <w:rPr>
                <w:rFonts w:ascii="Arial" w:hAnsi="Arial" w:cs="Arial"/>
                <w:bCs/>
                <w:color w:val="000000"/>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DB70CC8" w14:textId="7A3A01A2" w:rsidR="00395944" w:rsidRDefault="00395944" w:rsidP="00395944">
      <w:pPr>
        <w:pStyle w:val="NoSpacing"/>
        <w:tabs>
          <w:tab w:val="left" w:pos="2972"/>
        </w:tabs>
        <w:rPr>
          <w:rFonts w:ascii="Arial" w:hAnsi="Arial" w:cs="Arial"/>
          <w:b/>
          <w:color w:val="595959" w:themeColor="text1" w:themeTint="A6"/>
          <w:szCs w:val="20"/>
        </w:rPr>
      </w:pPr>
    </w:p>
    <w:p w14:paraId="1866DBA2" w14:textId="57FB304C"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693D7ACE"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7C4ED5">
        <w:rPr>
          <w:rFonts w:ascii="Arial" w:hAnsi="Arial" w:cs="Arial"/>
          <w:color w:val="000000" w:themeColor="text1"/>
          <w:sz w:val="20"/>
          <w:szCs w:val="20"/>
        </w:rPr>
        <w:t>6.</w:t>
      </w:r>
      <w:r w:rsidR="002124AA">
        <w:rPr>
          <w:rFonts w:ascii="Arial" w:hAnsi="Arial" w:cs="Arial"/>
          <w:color w:val="000000" w:themeColor="text1"/>
          <w:sz w:val="20"/>
          <w:szCs w:val="20"/>
        </w:rPr>
        <w:t>6</w:t>
      </w:r>
      <w:r>
        <w:rPr>
          <w:rFonts w:ascii="Arial" w:hAnsi="Arial" w:cs="Arial"/>
          <w:color w:val="000000" w:themeColor="text1"/>
          <w:sz w:val="20"/>
          <w:szCs w:val="20"/>
        </w:rPr>
        <w:t xml:space="preserve"> billion in sales in </w:t>
      </w:r>
      <w:r w:rsidR="007C4ED5">
        <w:rPr>
          <w:rFonts w:ascii="Arial" w:hAnsi="Arial" w:cs="Arial"/>
          <w:color w:val="000000" w:themeColor="text1"/>
          <w:sz w:val="20"/>
          <w:szCs w:val="20"/>
        </w:rPr>
        <w:t xml:space="preserve">the four </w:t>
      </w:r>
      <w:r w:rsidR="002124AA">
        <w:rPr>
          <w:rFonts w:ascii="Arial" w:hAnsi="Arial" w:cs="Arial"/>
          <w:color w:val="000000" w:themeColor="text1"/>
          <w:sz w:val="20"/>
          <w:szCs w:val="20"/>
        </w:rPr>
        <w:t xml:space="preserve">March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2124AA">
        <w:rPr>
          <w:rFonts w:ascii="Arial" w:hAnsi="Arial" w:cs="Arial"/>
          <w:color w:val="000000" w:themeColor="text1"/>
          <w:sz w:val="20"/>
          <w:szCs w:val="20"/>
        </w:rPr>
        <w:t xml:space="preserve">Unlike seafood, the total frozen food department had negative unit sales due to the impact of the much later Easter. </w:t>
      </w:r>
      <w:r w:rsidR="00F27198">
        <w:rPr>
          <w:rFonts w:ascii="Arial" w:hAnsi="Arial" w:cs="Arial"/>
          <w:color w:val="000000" w:themeColor="text1"/>
          <w:sz w:val="20"/>
          <w:szCs w:val="20"/>
        </w:rPr>
        <w:t xml:space="preserve">The holiday-related sales moving to April had a </w:t>
      </w:r>
      <w:r w:rsidR="002124AA">
        <w:rPr>
          <w:rFonts w:ascii="Arial" w:hAnsi="Arial" w:cs="Arial"/>
          <w:color w:val="000000" w:themeColor="text1"/>
          <w:sz w:val="20"/>
          <w:szCs w:val="20"/>
        </w:rPr>
        <w:t xml:space="preserve">substantial impact </w:t>
      </w:r>
      <w:r w:rsidR="00F27198">
        <w:rPr>
          <w:rFonts w:ascii="Arial" w:hAnsi="Arial" w:cs="Arial"/>
          <w:color w:val="000000" w:themeColor="text1"/>
          <w:sz w:val="20"/>
          <w:szCs w:val="20"/>
        </w:rPr>
        <w:t xml:space="preserve">in areas such as baked goods and desserts, though </w:t>
      </w:r>
      <w:r w:rsidR="007C4ED5">
        <w:rPr>
          <w:rFonts w:ascii="Arial" w:hAnsi="Arial" w:cs="Arial"/>
          <w:color w:val="000000" w:themeColor="text1"/>
          <w:sz w:val="20"/>
          <w:szCs w:val="20"/>
        </w:rPr>
        <w:t>the success of processed meat/poultry</w:t>
      </w:r>
      <w:r w:rsidR="00F27198">
        <w:rPr>
          <w:rFonts w:ascii="Arial" w:hAnsi="Arial" w:cs="Arial"/>
          <w:color w:val="000000" w:themeColor="text1"/>
          <w:sz w:val="20"/>
          <w:szCs w:val="20"/>
        </w:rPr>
        <w:t xml:space="preserve"> and regular meat/poultry</w:t>
      </w:r>
      <w:r w:rsidR="007C4ED5">
        <w:rPr>
          <w:rFonts w:ascii="Arial" w:hAnsi="Arial" w:cs="Arial"/>
          <w:color w:val="000000" w:themeColor="text1"/>
          <w:sz w:val="20"/>
          <w:szCs w:val="20"/>
        </w:rPr>
        <w:t xml:space="preserve"> continued. Sales for processed meat and poultry</w:t>
      </w:r>
      <w:r w:rsidR="00F27198">
        <w:rPr>
          <w:rFonts w:ascii="Arial" w:hAnsi="Arial" w:cs="Arial"/>
          <w:color w:val="000000" w:themeColor="text1"/>
          <w:sz w:val="20"/>
          <w:szCs w:val="20"/>
        </w:rPr>
        <w:t xml:space="preserve"> (chicken nuggets, sausage, etc.)</w:t>
      </w:r>
      <w:r w:rsidR="007C4ED5">
        <w:rPr>
          <w:rFonts w:ascii="Arial" w:hAnsi="Arial" w:cs="Arial"/>
          <w:color w:val="000000" w:themeColor="text1"/>
          <w:sz w:val="20"/>
          <w:szCs w:val="20"/>
        </w:rPr>
        <w:t xml:space="preserve"> </w:t>
      </w:r>
      <w:r w:rsidR="00A856F4">
        <w:rPr>
          <w:rFonts w:ascii="Arial" w:hAnsi="Arial" w:cs="Arial"/>
          <w:color w:val="000000" w:themeColor="text1"/>
          <w:sz w:val="20"/>
          <w:szCs w:val="20"/>
        </w:rPr>
        <w:t>are</w:t>
      </w:r>
      <w:r w:rsidR="007C4ED5">
        <w:rPr>
          <w:rFonts w:ascii="Arial" w:hAnsi="Arial" w:cs="Arial"/>
          <w:color w:val="000000" w:themeColor="text1"/>
          <w:sz w:val="20"/>
          <w:szCs w:val="20"/>
        </w:rPr>
        <w:t xml:space="preserve"> starting to approach the levels of frozen seafood. Frozen meat and poultry, such as chicken breast, also grew sales year-over-year, but is smaller, at $</w:t>
      </w:r>
      <w:r w:rsidR="00F27198">
        <w:rPr>
          <w:rFonts w:ascii="Arial" w:hAnsi="Arial" w:cs="Arial"/>
          <w:color w:val="000000" w:themeColor="text1"/>
          <w:sz w:val="20"/>
          <w:szCs w:val="20"/>
        </w:rPr>
        <w:t>487</w:t>
      </w:r>
      <w:r w:rsidR="007C4ED5">
        <w:rPr>
          <w:rFonts w:ascii="Arial" w:hAnsi="Arial" w:cs="Arial"/>
          <w:color w:val="000000" w:themeColor="text1"/>
          <w:sz w:val="20"/>
          <w:szCs w:val="20"/>
        </w:rPr>
        <w:t xml:space="preserve"> million in sales.</w:t>
      </w:r>
      <w:r w:rsidR="00F27198">
        <w:rPr>
          <w:rFonts w:ascii="Arial" w:hAnsi="Arial" w:cs="Arial"/>
          <w:color w:val="000000" w:themeColor="text1"/>
          <w:sz w:val="20"/>
          <w:szCs w:val="20"/>
        </w:rPr>
        <w:t xml:space="preserve"> Frozen seafood had positive unit growth in March and the latest 52-week views. </w:t>
      </w:r>
    </w:p>
    <w:p w14:paraId="463D18FA" w14:textId="77777777" w:rsidR="00BA6703" w:rsidRDefault="00BA6703" w:rsidP="00BA6703">
      <w:pPr>
        <w:pStyle w:val="NoSpacing"/>
        <w:ind w:right="11"/>
      </w:pPr>
    </w:p>
    <w:tbl>
      <w:tblPr>
        <w:tblStyle w:val="ListTable1Light-Accent4"/>
        <w:tblW w:w="4781" w:type="pct"/>
        <w:tblLayout w:type="fixed"/>
        <w:tblLook w:val="04A0" w:firstRow="1" w:lastRow="0" w:firstColumn="1" w:lastColumn="0" w:noHBand="0" w:noVBand="1"/>
      </w:tblPr>
      <w:tblGrid>
        <w:gridCol w:w="2386"/>
        <w:gridCol w:w="20"/>
        <w:gridCol w:w="1385"/>
        <w:gridCol w:w="1112"/>
        <w:gridCol w:w="1249"/>
        <w:gridCol w:w="1603"/>
        <w:gridCol w:w="95"/>
        <w:gridCol w:w="1065"/>
        <w:gridCol w:w="1154"/>
      </w:tblGrid>
      <w:tr w:rsidR="00C853F3" w:rsidRPr="00FF7600" w14:paraId="71FC3AC2" w14:textId="77777777" w:rsidTr="00E536A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70" w:type="pct"/>
            <w:gridSpan w:val="4"/>
            <w:tcBorders>
              <w:bottom w:val="none" w:sz="0" w:space="0" w:color="auto"/>
            </w:tcBorders>
            <w:shd w:val="clear" w:color="auto" w:fill="17365D" w:themeFill="text2" w:themeFillShade="BF"/>
          </w:tcPr>
          <w:p w14:paraId="0D38EDAD" w14:textId="4D844057"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 2025</w:t>
            </w:r>
          </w:p>
        </w:tc>
        <w:tc>
          <w:tcPr>
            <w:tcW w:w="1945"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E536A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98" w:type="pct"/>
            <w:gridSpan w:val="2"/>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3"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D570D2" w:rsidRPr="00E84021" w14:paraId="66677E7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595959" w:themeFill="text1" w:themeFillTint="A6"/>
          </w:tcPr>
          <w:p w14:paraId="59ADA336" w14:textId="77777777" w:rsidR="00D570D2" w:rsidRPr="00E84021" w:rsidRDefault="00D570D2" w:rsidP="00D570D2">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88" w:type="pct"/>
            <w:shd w:val="clear" w:color="auto" w:fill="595959" w:themeFill="text1" w:themeFillTint="A6"/>
          </w:tcPr>
          <w:p w14:paraId="755B3BB6" w14:textId="0DB861AA"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D5653C">
              <w:rPr>
                <w:rFonts w:ascii="Arial" w:eastAsia="Times New Roman" w:hAnsi="Arial" w:cs="Arial"/>
                <w:b/>
                <w:bCs/>
                <w:color w:val="FFFFFF" w:themeColor="background1"/>
                <w:sz w:val="18"/>
                <w:szCs w:val="18"/>
              </w:rPr>
              <w:t>6.6</w:t>
            </w:r>
            <w:r w:rsidRPr="00E84021">
              <w:rPr>
                <w:rFonts w:ascii="Arial" w:eastAsia="Times New Roman" w:hAnsi="Arial" w:cs="Arial"/>
                <w:b/>
                <w:bCs/>
                <w:color w:val="FFFFFF" w:themeColor="background1"/>
                <w:sz w:val="18"/>
                <w:szCs w:val="18"/>
              </w:rPr>
              <w:t>B</w:t>
            </w:r>
          </w:p>
        </w:tc>
        <w:tc>
          <w:tcPr>
            <w:tcW w:w="552" w:type="pct"/>
            <w:shd w:val="clear" w:color="auto" w:fill="595959" w:themeFill="text1" w:themeFillTint="A6"/>
          </w:tcPr>
          <w:p w14:paraId="480EA0F0" w14:textId="395AC89F" w:rsidR="00D570D2" w:rsidRPr="00E84021" w:rsidRDefault="002C5858"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D5653C">
              <w:rPr>
                <w:rFonts w:ascii="Arial" w:eastAsia="Times New Roman" w:hAnsi="Arial" w:cs="Arial"/>
                <w:b/>
                <w:bCs/>
                <w:color w:val="FFFFFF" w:themeColor="background1"/>
                <w:sz w:val="18"/>
                <w:szCs w:val="18"/>
              </w:rPr>
              <w:t>0.9</w:t>
            </w:r>
            <w:r w:rsidR="00D570D2"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664CF2E2" w:rsidR="00D570D2" w:rsidRPr="00E84021" w:rsidRDefault="00D5653C"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-1.2</w:t>
            </w:r>
            <w:r w:rsidR="00D570D2"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37E884FD" w:rsidR="00D570D2" w:rsidRPr="00E84021" w:rsidRDefault="00D570D2" w:rsidP="00D570D2">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2C5858">
              <w:rPr>
                <w:rFonts w:ascii="Arial" w:hAnsi="Arial" w:cs="Arial"/>
                <w:b/>
                <w:bCs/>
                <w:color w:val="FFFFFF" w:themeColor="background1"/>
                <w:sz w:val="18"/>
                <w:szCs w:val="18"/>
              </w:rPr>
              <w:t>85.</w:t>
            </w:r>
            <w:r w:rsidR="0053357C">
              <w:rPr>
                <w:rFonts w:ascii="Arial" w:hAnsi="Arial" w:cs="Arial"/>
                <w:b/>
                <w:bCs/>
                <w:color w:val="FFFFFF" w:themeColor="background1"/>
                <w:sz w:val="18"/>
                <w:szCs w:val="18"/>
              </w:rPr>
              <w:t>9</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6C1A97BB"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2C5858">
              <w:rPr>
                <w:rFonts w:ascii="Arial" w:hAnsi="Arial" w:cs="Arial"/>
                <w:b/>
                <w:bCs/>
                <w:color w:val="FFFFFF" w:themeColor="background1"/>
                <w:sz w:val="18"/>
                <w:szCs w:val="18"/>
              </w:rPr>
              <w:t>1.</w:t>
            </w:r>
            <w:r w:rsidR="00874E2E">
              <w:rPr>
                <w:rFonts w:ascii="Arial" w:hAnsi="Arial" w:cs="Arial"/>
                <w:b/>
                <w:bCs/>
                <w:color w:val="FFFFFF" w:themeColor="background1"/>
                <w:sz w:val="18"/>
                <w:szCs w:val="18"/>
              </w:rPr>
              <w:t>5</w:t>
            </w:r>
            <w:r w:rsidRPr="00E84021">
              <w:rPr>
                <w:rFonts w:ascii="Arial" w:hAnsi="Arial" w:cs="Arial"/>
                <w:b/>
                <w:bCs/>
                <w:color w:val="FFFFFF" w:themeColor="background1"/>
                <w:sz w:val="18"/>
                <w:szCs w:val="18"/>
              </w:rPr>
              <w:t>%</w:t>
            </w:r>
          </w:p>
        </w:tc>
        <w:tc>
          <w:tcPr>
            <w:tcW w:w="573" w:type="pct"/>
            <w:shd w:val="clear" w:color="auto" w:fill="595959" w:themeFill="text1" w:themeFillTint="A6"/>
          </w:tcPr>
          <w:p w14:paraId="5AF7904B" w14:textId="10BB307C"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2C5858">
              <w:rPr>
                <w:rFonts w:ascii="Arial" w:eastAsia="Times New Roman" w:hAnsi="Arial" w:cs="Arial"/>
                <w:b/>
                <w:bCs/>
                <w:color w:val="FFFFFF" w:themeColor="background1"/>
                <w:sz w:val="18"/>
                <w:szCs w:val="18"/>
              </w:rPr>
              <w:t>1.</w:t>
            </w:r>
            <w:r w:rsidR="0053357C">
              <w:rPr>
                <w:rFonts w:ascii="Arial" w:eastAsia="Times New Roman" w:hAnsi="Arial" w:cs="Arial"/>
                <w:b/>
                <w:bCs/>
                <w:color w:val="FFFFFF" w:themeColor="background1"/>
                <w:sz w:val="18"/>
                <w:szCs w:val="18"/>
              </w:rPr>
              <w:t>2</w:t>
            </w:r>
            <w:r w:rsidRPr="00E84021">
              <w:rPr>
                <w:rFonts w:ascii="Arial" w:eastAsia="Times New Roman" w:hAnsi="Arial" w:cs="Arial"/>
                <w:b/>
                <w:bCs/>
                <w:color w:val="FFFFFF" w:themeColor="background1"/>
                <w:sz w:val="18"/>
                <w:szCs w:val="18"/>
              </w:rPr>
              <w:t>%</w:t>
            </w:r>
          </w:p>
        </w:tc>
      </w:tr>
      <w:tr w:rsidR="00D570D2" w:rsidRPr="0093290D" w14:paraId="45EE1A0E"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B6B6051"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88" w:type="pct"/>
            <w:shd w:val="clear" w:color="auto" w:fill="BFBFBF" w:themeFill="background1" w:themeFillShade="BF"/>
          </w:tcPr>
          <w:p w14:paraId="515AC909" w14:textId="1BFD5713"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r w:rsidR="00D5653C">
              <w:rPr>
                <w:rFonts w:ascii="Arial" w:eastAsia="Times New Roman" w:hAnsi="Arial" w:cs="Arial"/>
                <w:color w:val="000000" w:themeColor="text1"/>
                <w:sz w:val="18"/>
                <w:szCs w:val="18"/>
              </w:rPr>
              <w:t>2.2</w:t>
            </w:r>
            <w:r w:rsidR="00D570D2">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190E060E"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-1.3</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01C8D65A"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-1.4</w:t>
            </w:r>
            <w:r w:rsidR="00D570D2" w:rsidRPr="00760BBB">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7C253E3B"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3EFE">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28.2</w:t>
            </w:r>
            <w:r w:rsidRPr="00A23EFE">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41C46543"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874E2E">
              <w:rPr>
                <w:rFonts w:ascii="Arial" w:hAnsi="Arial" w:cs="Arial"/>
                <w:color w:val="000000" w:themeColor="text1"/>
                <w:sz w:val="18"/>
                <w:szCs w:val="18"/>
              </w:rPr>
              <w:t>0.</w:t>
            </w:r>
            <w:r w:rsidR="0053357C">
              <w:rPr>
                <w:rFonts w:ascii="Arial" w:hAnsi="Arial" w:cs="Arial"/>
                <w:color w:val="000000" w:themeColor="text1"/>
                <w:sz w:val="18"/>
                <w:szCs w:val="18"/>
              </w:rPr>
              <w:t>7</w:t>
            </w:r>
            <w:r w:rsidRPr="003A358D">
              <w:rPr>
                <w:rFonts w:ascii="Arial" w:hAnsi="Arial" w:cs="Arial"/>
                <w:color w:val="000000" w:themeColor="text1"/>
                <w:sz w:val="18"/>
                <w:szCs w:val="18"/>
              </w:rPr>
              <w:t>%</w:t>
            </w:r>
          </w:p>
        </w:tc>
        <w:tc>
          <w:tcPr>
            <w:tcW w:w="573" w:type="pct"/>
            <w:shd w:val="clear" w:color="auto" w:fill="BFBFBF" w:themeFill="background1" w:themeFillShade="BF"/>
          </w:tcPr>
          <w:p w14:paraId="35562C4B" w14:textId="664B22F1"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2C5858">
              <w:rPr>
                <w:rFonts w:ascii="Arial" w:hAnsi="Arial" w:cs="Arial"/>
                <w:color w:val="000000" w:themeColor="text1"/>
                <w:sz w:val="18"/>
                <w:szCs w:val="18"/>
              </w:rPr>
              <w:t>0.</w:t>
            </w:r>
            <w:r w:rsidR="007C4ED5">
              <w:rPr>
                <w:rFonts w:ascii="Arial" w:hAnsi="Arial" w:cs="Arial"/>
                <w:color w:val="000000" w:themeColor="text1"/>
                <w:sz w:val="18"/>
                <w:szCs w:val="18"/>
              </w:rPr>
              <w:t>4</w:t>
            </w:r>
            <w:r w:rsidRPr="003A358D">
              <w:rPr>
                <w:rFonts w:ascii="Arial" w:hAnsi="Arial" w:cs="Arial"/>
                <w:color w:val="000000" w:themeColor="text1"/>
                <w:sz w:val="18"/>
                <w:szCs w:val="18"/>
              </w:rPr>
              <w:t>%</w:t>
            </w:r>
          </w:p>
        </w:tc>
      </w:tr>
      <w:tr w:rsidR="00D570D2" w:rsidRPr="0093290D" w14:paraId="33BAD93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6635218E"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Seafood</w:t>
            </w:r>
          </w:p>
        </w:tc>
        <w:tc>
          <w:tcPr>
            <w:tcW w:w="688" w:type="pct"/>
          </w:tcPr>
          <w:p w14:paraId="1F552D30" w14:textId="208621CB"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D5653C">
              <w:rPr>
                <w:rFonts w:ascii="Arial" w:eastAsia="Times New Roman" w:hAnsi="Arial" w:cs="Arial"/>
                <w:color w:val="000000" w:themeColor="text1"/>
                <w:sz w:val="18"/>
                <w:szCs w:val="18"/>
              </w:rPr>
              <w:t>738M</w:t>
            </w:r>
          </w:p>
        </w:tc>
        <w:tc>
          <w:tcPr>
            <w:tcW w:w="552" w:type="pct"/>
          </w:tcPr>
          <w:p w14:paraId="21B353CB" w14:textId="2F67233E" w:rsidR="00D570D2" w:rsidRPr="0093290D" w:rsidRDefault="00D5653C"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+5.1</w:t>
            </w:r>
            <w:r w:rsidR="00D570D2" w:rsidRPr="00760BBB">
              <w:rPr>
                <w:rFonts w:ascii="Arial" w:hAnsi="Arial" w:cs="Arial"/>
                <w:color w:val="000000" w:themeColor="text1"/>
                <w:sz w:val="18"/>
                <w:szCs w:val="18"/>
              </w:rPr>
              <w:t>%</w:t>
            </w:r>
          </w:p>
        </w:tc>
        <w:tc>
          <w:tcPr>
            <w:tcW w:w="620" w:type="pct"/>
            <w:tcBorders>
              <w:right w:val="single" w:sz="4" w:space="0" w:color="auto"/>
            </w:tcBorders>
          </w:tcPr>
          <w:p w14:paraId="77A265EA" w14:textId="3E71D9B2" w:rsidR="00D570D2" w:rsidRPr="0093290D" w:rsidRDefault="0053357C"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+5.4</w:t>
            </w:r>
            <w:r w:rsidR="00D570D2">
              <w:rPr>
                <w:rFonts w:ascii="Arial" w:hAnsi="Arial" w:cs="Arial"/>
                <w:color w:val="000000" w:themeColor="text1"/>
                <w:sz w:val="18"/>
                <w:szCs w:val="18"/>
              </w:rPr>
              <w:t>%</w:t>
            </w:r>
          </w:p>
        </w:tc>
        <w:tc>
          <w:tcPr>
            <w:tcW w:w="796" w:type="pct"/>
            <w:tcBorders>
              <w:left w:val="single" w:sz="4" w:space="0" w:color="auto"/>
            </w:tcBorders>
          </w:tcPr>
          <w:p w14:paraId="2C2CB3AD" w14:textId="43A48018"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8.2</w:t>
            </w:r>
            <w:r w:rsidRPr="00A56E3D">
              <w:rPr>
                <w:rFonts w:ascii="Arial" w:eastAsia="Times New Roman" w:hAnsi="Arial" w:cs="Arial"/>
                <w:color w:val="000000" w:themeColor="text1"/>
                <w:sz w:val="18"/>
                <w:szCs w:val="18"/>
              </w:rPr>
              <w:t>B</w:t>
            </w:r>
          </w:p>
        </w:tc>
        <w:tc>
          <w:tcPr>
            <w:tcW w:w="576" w:type="pct"/>
            <w:gridSpan w:val="2"/>
          </w:tcPr>
          <w:p w14:paraId="49F5BC74" w14:textId="59927797"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53357C">
              <w:rPr>
                <w:rFonts w:ascii="Arial" w:hAnsi="Arial" w:cs="Arial"/>
                <w:color w:val="000000" w:themeColor="text1"/>
                <w:sz w:val="18"/>
                <w:szCs w:val="18"/>
              </w:rPr>
              <w:t>0</w:t>
            </w:r>
            <w:r w:rsidR="002C5858">
              <w:rPr>
                <w:rFonts w:ascii="Arial" w:hAnsi="Arial" w:cs="Arial"/>
                <w:color w:val="000000" w:themeColor="text1"/>
                <w:sz w:val="18"/>
                <w:szCs w:val="18"/>
              </w:rPr>
              <w:t>.</w:t>
            </w:r>
            <w:r w:rsidR="007C4ED5">
              <w:rPr>
                <w:rFonts w:ascii="Arial" w:hAnsi="Arial" w:cs="Arial"/>
                <w:color w:val="000000" w:themeColor="text1"/>
                <w:sz w:val="18"/>
                <w:szCs w:val="18"/>
              </w:rPr>
              <w:t>5</w:t>
            </w:r>
            <w:r w:rsidRPr="003A358D">
              <w:rPr>
                <w:rFonts w:ascii="Arial" w:hAnsi="Arial" w:cs="Arial"/>
                <w:color w:val="000000" w:themeColor="text1"/>
                <w:sz w:val="18"/>
                <w:szCs w:val="18"/>
              </w:rPr>
              <w:t>%</w:t>
            </w:r>
          </w:p>
        </w:tc>
        <w:tc>
          <w:tcPr>
            <w:tcW w:w="573" w:type="pct"/>
          </w:tcPr>
          <w:p w14:paraId="734B885A" w14:textId="7C76C303"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0.</w:t>
            </w:r>
            <w:r w:rsidR="0053357C">
              <w:rPr>
                <w:rFonts w:ascii="Arial" w:hAnsi="Arial" w:cs="Arial"/>
                <w:color w:val="000000" w:themeColor="text1"/>
                <w:sz w:val="18"/>
                <w:szCs w:val="18"/>
              </w:rPr>
              <w:t>7</w:t>
            </w:r>
            <w:r w:rsidR="00D570D2" w:rsidRPr="003A358D">
              <w:rPr>
                <w:rFonts w:ascii="Arial" w:hAnsi="Arial" w:cs="Arial"/>
                <w:color w:val="000000" w:themeColor="text1"/>
                <w:sz w:val="18"/>
                <w:szCs w:val="18"/>
              </w:rPr>
              <w:t>%</w:t>
            </w:r>
          </w:p>
        </w:tc>
      </w:tr>
      <w:tr w:rsidR="00D570D2" w:rsidRPr="0093290D" w14:paraId="00BC5C90"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22BB17A" w14:textId="49032C75"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/poultry</w:t>
            </w:r>
          </w:p>
        </w:tc>
        <w:tc>
          <w:tcPr>
            <w:tcW w:w="688" w:type="pct"/>
            <w:shd w:val="clear" w:color="auto" w:fill="BFBFBF" w:themeFill="background1" w:themeFillShade="BF"/>
          </w:tcPr>
          <w:p w14:paraId="01446C64" w14:textId="3B501370"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53357C">
              <w:rPr>
                <w:rFonts w:ascii="Arial" w:eastAsia="Times New Roman" w:hAnsi="Arial" w:cs="Arial"/>
                <w:color w:val="000000" w:themeColor="text1"/>
                <w:sz w:val="18"/>
                <w:szCs w:val="18"/>
              </w:rPr>
              <w:t>607</w:t>
            </w:r>
            <w:r w:rsidRPr="006001C5">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345E99AD"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10.</w:t>
            </w:r>
            <w:r w:rsidR="0053357C">
              <w:rPr>
                <w:rFonts w:ascii="Arial" w:hAnsi="Arial" w:cs="Arial"/>
                <w:color w:val="000000" w:themeColor="text1"/>
                <w:sz w:val="18"/>
                <w:szCs w:val="18"/>
              </w:rPr>
              <w:t>4</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797E653D"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8.9</w:t>
            </w:r>
            <w:r w:rsidR="00D570D2">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64082275"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7.6</w:t>
            </w:r>
            <w:r w:rsidRPr="00A56E3D">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394E95B5"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10.</w:t>
            </w:r>
            <w:r w:rsidR="0053357C">
              <w:rPr>
                <w:rFonts w:ascii="Arial" w:hAnsi="Arial" w:cs="Arial"/>
                <w:color w:val="000000" w:themeColor="text1"/>
                <w:sz w:val="18"/>
                <w:szCs w:val="18"/>
              </w:rPr>
              <w:t>6</w:t>
            </w:r>
            <w:r w:rsidR="00D570D2" w:rsidRPr="003A358D">
              <w:rPr>
                <w:rFonts w:ascii="Arial" w:hAnsi="Arial" w:cs="Arial"/>
                <w:color w:val="000000" w:themeColor="text1"/>
                <w:sz w:val="18"/>
                <w:szCs w:val="18"/>
              </w:rPr>
              <w:t>%</w:t>
            </w:r>
          </w:p>
        </w:tc>
        <w:tc>
          <w:tcPr>
            <w:tcW w:w="573" w:type="pct"/>
            <w:shd w:val="clear" w:color="auto" w:fill="BFBFBF" w:themeFill="background1" w:themeFillShade="BF"/>
          </w:tcPr>
          <w:p w14:paraId="338497B2" w14:textId="122B4F3C"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10.</w:t>
            </w:r>
            <w:r w:rsidR="0053357C">
              <w:rPr>
                <w:rFonts w:ascii="Arial" w:hAnsi="Arial" w:cs="Arial"/>
                <w:color w:val="000000" w:themeColor="text1"/>
                <w:sz w:val="18"/>
                <w:szCs w:val="18"/>
              </w:rPr>
              <w:t>0</w:t>
            </w:r>
            <w:r w:rsidR="00D570D2" w:rsidRPr="003A358D">
              <w:rPr>
                <w:rFonts w:ascii="Arial" w:hAnsi="Arial" w:cs="Arial"/>
                <w:color w:val="000000" w:themeColor="text1"/>
                <w:sz w:val="18"/>
                <w:szCs w:val="18"/>
              </w:rPr>
              <w:t>%</w:t>
            </w:r>
          </w:p>
        </w:tc>
      </w:tr>
      <w:tr w:rsidR="00D570D2" w:rsidRPr="0093290D" w14:paraId="58CCACA8"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5537AC12"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88" w:type="pct"/>
          </w:tcPr>
          <w:p w14:paraId="53D10B60" w14:textId="66FD1195"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53357C">
              <w:rPr>
                <w:rFonts w:ascii="Arial" w:eastAsia="Times New Roman" w:hAnsi="Arial" w:cs="Arial"/>
                <w:color w:val="000000" w:themeColor="text1"/>
                <w:sz w:val="18"/>
                <w:szCs w:val="18"/>
              </w:rPr>
              <w:t>487</w:t>
            </w:r>
            <w:r w:rsidRPr="006001C5">
              <w:rPr>
                <w:rFonts w:ascii="Arial" w:eastAsia="Times New Roman" w:hAnsi="Arial" w:cs="Arial"/>
                <w:color w:val="000000" w:themeColor="text1"/>
                <w:sz w:val="18"/>
                <w:szCs w:val="18"/>
              </w:rPr>
              <w:t>M</w:t>
            </w:r>
          </w:p>
        </w:tc>
        <w:tc>
          <w:tcPr>
            <w:tcW w:w="552" w:type="pct"/>
          </w:tcPr>
          <w:p w14:paraId="15AE4934" w14:textId="1170A790"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5.</w:t>
            </w:r>
            <w:r w:rsidR="0053357C">
              <w:rPr>
                <w:rFonts w:ascii="Arial" w:hAnsi="Arial" w:cs="Arial"/>
                <w:color w:val="000000" w:themeColor="text1"/>
                <w:sz w:val="18"/>
                <w:szCs w:val="18"/>
              </w:rPr>
              <w:t>3</w:t>
            </w:r>
            <w:r w:rsidR="00D570D2" w:rsidRPr="00760BBB">
              <w:rPr>
                <w:rFonts w:ascii="Arial" w:hAnsi="Arial" w:cs="Arial"/>
                <w:color w:val="000000" w:themeColor="text1"/>
                <w:sz w:val="18"/>
                <w:szCs w:val="18"/>
              </w:rPr>
              <w:t>%</w:t>
            </w:r>
          </w:p>
        </w:tc>
        <w:tc>
          <w:tcPr>
            <w:tcW w:w="620" w:type="pct"/>
            <w:tcBorders>
              <w:right w:val="single" w:sz="4" w:space="0" w:color="auto"/>
            </w:tcBorders>
          </w:tcPr>
          <w:p w14:paraId="5A3B15DF" w14:textId="6DE5105A"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6.4</w:t>
            </w:r>
            <w:r w:rsidR="00D570D2">
              <w:rPr>
                <w:rFonts w:ascii="Arial" w:hAnsi="Arial" w:cs="Arial"/>
                <w:color w:val="000000" w:themeColor="text1"/>
                <w:sz w:val="18"/>
                <w:szCs w:val="18"/>
              </w:rPr>
              <w:t>%</w:t>
            </w:r>
          </w:p>
        </w:tc>
        <w:tc>
          <w:tcPr>
            <w:tcW w:w="796" w:type="pct"/>
            <w:tcBorders>
              <w:left w:val="single" w:sz="4" w:space="0" w:color="auto"/>
            </w:tcBorders>
          </w:tcPr>
          <w:p w14:paraId="27C2FEE1" w14:textId="5C7EB9E4"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6.7</w:t>
            </w:r>
            <w:r w:rsidRPr="00A56E3D">
              <w:rPr>
                <w:rFonts w:ascii="Arial" w:eastAsia="Times New Roman" w:hAnsi="Arial" w:cs="Arial"/>
                <w:color w:val="000000" w:themeColor="text1"/>
                <w:sz w:val="18"/>
                <w:szCs w:val="18"/>
              </w:rPr>
              <w:t>B</w:t>
            </w:r>
          </w:p>
        </w:tc>
        <w:tc>
          <w:tcPr>
            <w:tcW w:w="576" w:type="pct"/>
            <w:gridSpan w:val="2"/>
          </w:tcPr>
          <w:p w14:paraId="7EB8C2AB" w14:textId="7BFCB57A"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4.1</w:t>
            </w:r>
            <w:r w:rsidR="00D570D2" w:rsidRPr="003A358D">
              <w:rPr>
                <w:rFonts w:ascii="Arial" w:hAnsi="Arial" w:cs="Arial"/>
                <w:color w:val="000000" w:themeColor="text1"/>
                <w:sz w:val="18"/>
                <w:szCs w:val="18"/>
              </w:rPr>
              <w:t>%</w:t>
            </w:r>
          </w:p>
        </w:tc>
        <w:tc>
          <w:tcPr>
            <w:tcW w:w="573" w:type="pct"/>
          </w:tcPr>
          <w:p w14:paraId="11111E86" w14:textId="7C74E87A"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3.2</w:t>
            </w:r>
            <w:r w:rsidR="00D570D2" w:rsidRPr="003A358D">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163D1C8F" w:rsidR="00F97C2B" w:rsidRDefault="00F27198" w:rsidP="004970F6">
      <w:pPr>
        <w:pStyle w:val="NoSpacing"/>
        <w:rPr>
          <w:rFonts w:ascii="Arial" w:hAnsi="Arial" w:cs="Arial"/>
          <w:color w:val="000000" w:themeColor="text1"/>
          <w:sz w:val="20"/>
          <w:szCs w:val="20"/>
        </w:rPr>
      </w:pPr>
      <w:r>
        <w:rPr>
          <w:rFonts w:ascii="Arial" w:hAnsi="Arial" w:cs="Arial"/>
          <w:color w:val="000000" w:themeColor="text1"/>
          <w:sz w:val="20"/>
          <w:szCs w:val="20"/>
        </w:rPr>
        <w:t>March was a strong month for frozen seafood. Dollar sales grew more than 5% and pounds grew by 3.1%</w:t>
      </w:r>
      <w:r w:rsidR="007C4ED5">
        <w:rPr>
          <w:rFonts w:ascii="Arial" w:hAnsi="Arial" w:cs="Arial"/>
          <w:color w:val="000000" w:themeColor="text1"/>
          <w:sz w:val="20"/>
          <w:szCs w:val="20"/>
        </w:rPr>
        <w:t>.</w:t>
      </w:r>
      <w:r>
        <w:rPr>
          <w:rFonts w:ascii="Arial" w:hAnsi="Arial" w:cs="Arial"/>
          <w:color w:val="000000" w:themeColor="text1"/>
          <w:sz w:val="20"/>
          <w:szCs w:val="20"/>
        </w:rPr>
        <w:t xml:space="preserve"> The latter was driven by big gains in finfish sales, though shellfish (predominantly shrimp) also grew year-on-year.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753"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720"/>
        <w:gridCol w:w="720"/>
        <w:gridCol w:w="864"/>
        <w:gridCol w:w="864"/>
        <w:gridCol w:w="867"/>
        <w:gridCol w:w="827"/>
        <w:gridCol w:w="905"/>
      </w:tblGrid>
      <w:tr w:rsidR="0053357C" w:rsidRPr="00124BCF" w14:paraId="045CB233" w14:textId="77777777" w:rsidTr="00D04E7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bottom w:val="none" w:sz="0" w:space="0" w:color="auto"/>
            </w:tcBorders>
            <w:shd w:val="clear" w:color="auto" w:fill="17365D" w:themeFill="text2" w:themeFillShade="BF"/>
          </w:tcPr>
          <w:p w14:paraId="382655BC" w14:textId="77777777" w:rsidR="0053357C" w:rsidRPr="0003007F" w:rsidRDefault="0053357C" w:rsidP="0053357C">
            <w:pPr>
              <w:pStyle w:val="NoSpacing"/>
              <w:rPr>
                <w:rFonts w:ascii="Arial" w:hAnsi="Arial" w:cs="Arial"/>
                <w:color w:val="FFFFFF" w:themeColor="background1"/>
                <w:sz w:val="18"/>
                <w:szCs w:val="18"/>
              </w:rPr>
            </w:pPr>
            <w:r>
              <w:rPr>
                <w:rFonts w:ascii="Arial" w:hAnsi="Arial" w:cs="Arial"/>
                <w:color w:val="FFFFFF" w:themeColor="background1"/>
                <w:sz w:val="18"/>
                <w:szCs w:val="18"/>
              </w:rPr>
              <w:t>Dollar sales</w:t>
            </w:r>
          </w:p>
        </w:tc>
        <w:tc>
          <w:tcPr>
            <w:tcW w:w="834" w:type="dxa"/>
            <w:gridSpan w:val="2"/>
            <w:tcBorders>
              <w:top w:val="none" w:sz="0" w:space="0" w:color="auto"/>
              <w:bottom w:val="none" w:sz="0" w:space="0" w:color="auto"/>
            </w:tcBorders>
            <w:shd w:val="clear" w:color="auto" w:fill="17365D" w:themeFill="text2" w:themeFillShade="BF"/>
            <w:vAlign w:val="center"/>
          </w:tcPr>
          <w:p w14:paraId="31B3EF87" w14:textId="77777777" w:rsidR="0053357C" w:rsidRPr="002E5A1E" w:rsidRDefault="0053357C" w:rsidP="0053357C">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20</w:t>
            </w:r>
            <w:r w:rsidRPr="002E5A1E">
              <w:rPr>
                <w:rFonts w:ascii="Arial" w:hAnsi="Arial" w:cs="Arial"/>
                <w:color w:val="FFFFFF" w:themeColor="background1"/>
                <w:sz w:val="18"/>
                <w:szCs w:val="18"/>
              </w:rPr>
              <w:t>20</w:t>
            </w:r>
          </w:p>
        </w:tc>
        <w:tc>
          <w:tcPr>
            <w:tcW w:w="711" w:type="dxa"/>
            <w:tcBorders>
              <w:top w:val="none" w:sz="0" w:space="0" w:color="auto"/>
              <w:bottom w:val="none" w:sz="0" w:space="0" w:color="auto"/>
            </w:tcBorders>
            <w:shd w:val="clear" w:color="auto" w:fill="17365D" w:themeFill="text2" w:themeFillShade="BF"/>
            <w:vAlign w:val="center"/>
          </w:tcPr>
          <w:p w14:paraId="5EF8ECE7" w14:textId="77777777" w:rsidR="0053357C" w:rsidRPr="002E5A1E"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2021</w:t>
            </w:r>
          </w:p>
        </w:tc>
        <w:tc>
          <w:tcPr>
            <w:tcW w:w="712" w:type="dxa"/>
            <w:tcBorders>
              <w:top w:val="none" w:sz="0" w:space="0" w:color="auto"/>
              <w:bottom w:val="none" w:sz="0" w:space="0" w:color="auto"/>
            </w:tcBorders>
            <w:shd w:val="clear" w:color="auto" w:fill="17365D" w:themeFill="text2" w:themeFillShade="BF"/>
            <w:vAlign w:val="center"/>
          </w:tcPr>
          <w:p w14:paraId="0EA5321D" w14:textId="77777777"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2022</w:t>
            </w:r>
          </w:p>
        </w:tc>
        <w:tc>
          <w:tcPr>
            <w:tcW w:w="712" w:type="dxa"/>
            <w:tcBorders>
              <w:top w:val="none" w:sz="0" w:space="0" w:color="auto"/>
              <w:bottom w:val="none" w:sz="0" w:space="0" w:color="auto"/>
            </w:tcBorders>
            <w:shd w:val="clear" w:color="auto" w:fill="17365D" w:themeFill="text2" w:themeFillShade="BF"/>
            <w:vAlign w:val="center"/>
          </w:tcPr>
          <w:p w14:paraId="72802DFE" w14:textId="77777777"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2023</w:t>
            </w:r>
          </w:p>
        </w:tc>
        <w:tc>
          <w:tcPr>
            <w:tcW w:w="720" w:type="dxa"/>
            <w:tcBorders>
              <w:top w:val="none" w:sz="0" w:space="0" w:color="auto"/>
              <w:bottom w:val="none" w:sz="0" w:space="0" w:color="auto"/>
            </w:tcBorders>
            <w:shd w:val="clear" w:color="auto" w:fill="17365D" w:themeFill="text2" w:themeFillShade="BF"/>
            <w:vAlign w:val="center"/>
          </w:tcPr>
          <w:p w14:paraId="3A71509A" w14:textId="77777777"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2024</w:t>
            </w:r>
          </w:p>
        </w:tc>
        <w:tc>
          <w:tcPr>
            <w:tcW w:w="720" w:type="dxa"/>
            <w:tcBorders>
              <w:top w:val="none" w:sz="0" w:space="0" w:color="auto"/>
              <w:bottom w:val="none" w:sz="0" w:space="0" w:color="auto"/>
            </w:tcBorders>
            <w:shd w:val="clear" w:color="auto" w:fill="17365D" w:themeFill="text2" w:themeFillShade="BF"/>
            <w:vAlign w:val="center"/>
          </w:tcPr>
          <w:p w14:paraId="282DEA01" w14:textId="202958B7"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Q2 24</w:t>
            </w:r>
          </w:p>
        </w:tc>
        <w:tc>
          <w:tcPr>
            <w:tcW w:w="720" w:type="dxa"/>
            <w:tcBorders>
              <w:top w:val="none" w:sz="0" w:space="0" w:color="auto"/>
              <w:bottom w:val="none" w:sz="0" w:space="0" w:color="auto"/>
            </w:tcBorders>
            <w:shd w:val="clear" w:color="auto" w:fill="17365D" w:themeFill="text2" w:themeFillShade="BF"/>
            <w:vAlign w:val="center"/>
          </w:tcPr>
          <w:p w14:paraId="0476FBD6" w14:textId="5F36BC5C"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Q3 24</w:t>
            </w:r>
          </w:p>
        </w:tc>
        <w:tc>
          <w:tcPr>
            <w:tcW w:w="864" w:type="dxa"/>
            <w:tcBorders>
              <w:top w:val="none" w:sz="0" w:space="0" w:color="auto"/>
              <w:bottom w:val="none" w:sz="0" w:space="0" w:color="auto"/>
            </w:tcBorders>
            <w:shd w:val="clear" w:color="auto" w:fill="17365D" w:themeFill="text2" w:themeFillShade="BF"/>
            <w:vAlign w:val="center"/>
          </w:tcPr>
          <w:p w14:paraId="63A8018E" w14:textId="58AA18C4"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Q4 24</w:t>
            </w:r>
          </w:p>
        </w:tc>
        <w:tc>
          <w:tcPr>
            <w:tcW w:w="864" w:type="dxa"/>
            <w:tcBorders>
              <w:top w:val="none" w:sz="0" w:space="0" w:color="auto"/>
              <w:bottom w:val="none" w:sz="0" w:space="0" w:color="auto"/>
            </w:tcBorders>
            <w:shd w:val="clear" w:color="auto" w:fill="17365D" w:themeFill="text2" w:themeFillShade="BF"/>
            <w:vAlign w:val="center"/>
          </w:tcPr>
          <w:p w14:paraId="3F5082FF" w14:textId="1825BB96" w:rsidR="0053357C"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Q1 25</w:t>
            </w:r>
          </w:p>
        </w:tc>
        <w:tc>
          <w:tcPr>
            <w:tcW w:w="867" w:type="dxa"/>
            <w:tcBorders>
              <w:top w:val="none" w:sz="0" w:space="0" w:color="auto"/>
              <w:bottom w:val="none" w:sz="0" w:space="0" w:color="auto"/>
            </w:tcBorders>
            <w:shd w:val="clear" w:color="auto" w:fill="17365D" w:themeFill="text2" w:themeFillShade="BF"/>
            <w:vAlign w:val="center"/>
          </w:tcPr>
          <w:p w14:paraId="0EBE4562" w14:textId="55D87D98" w:rsidR="0053357C" w:rsidRPr="00124BCF"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 xml:space="preserve">Mar </w:t>
            </w:r>
            <w:r w:rsidRPr="00124BCF">
              <w:rPr>
                <w:rFonts w:ascii="Arial" w:hAnsi="Arial" w:cs="Arial"/>
                <w:bCs w:val="0"/>
                <w:color w:val="FFFFFF" w:themeColor="background1"/>
                <w:sz w:val="18"/>
                <w:szCs w:val="18"/>
              </w:rPr>
              <w:t>2</w:t>
            </w:r>
            <w:r>
              <w:rPr>
                <w:rFonts w:ascii="Arial" w:hAnsi="Arial" w:cs="Arial"/>
                <w:bCs w:val="0"/>
                <w:color w:val="FFFFFF" w:themeColor="background1"/>
                <w:sz w:val="18"/>
                <w:szCs w:val="18"/>
              </w:rPr>
              <w:t>5</w:t>
            </w:r>
          </w:p>
        </w:tc>
        <w:tc>
          <w:tcPr>
            <w:tcW w:w="827" w:type="dxa"/>
            <w:tcBorders>
              <w:top w:val="none" w:sz="0" w:space="0" w:color="auto"/>
              <w:bottom w:val="none" w:sz="0" w:space="0" w:color="auto"/>
            </w:tcBorders>
            <w:shd w:val="clear" w:color="auto" w:fill="17365D" w:themeFill="text2" w:themeFillShade="BF"/>
            <w:vAlign w:val="center"/>
          </w:tcPr>
          <w:p w14:paraId="347884CA" w14:textId="77777777" w:rsidR="0053357C" w:rsidRPr="00124BCF"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124BCF">
              <w:rPr>
                <w:rFonts w:ascii="Arial" w:hAnsi="Arial" w:cs="Arial"/>
                <w:bCs w:val="0"/>
                <w:color w:val="FFFFFF" w:themeColor="background1"/>
                <w:sz w:val="18"/>
                <w:szCs w:val="18"/>
              </w:rPr>
              <w:t xml:space="preserve">$ </w:t>
            </w:r>
            <w:r w:rsidRPr="00124BCF">
              <w:rPr>
                <w:rFonts w:ascii="Arial" w:hAnsi="Arial" w:cs="Arial"/>
                <w:bCs w:val="0"/>
                <w:color w:val="FFFFFF" w:themeColor="background1"/>
                <w:sz w:val="18"/>
                <w:szCs w:val="18"/>
              </w:rPr>
              <w:br/>
              <w:t>vs YA</w:t>
            </w:r>
          </w:p>
        </w:tc>
        <w:tc>
          <w:tcPr>
            <w:tcW w:w="905" w:type="dxa"/>
            <w:tcBorders>
              <w:top w:val="none" w:sz="0" w:space="0" w:color="auto"/>
              <w:bottom w:val="none" w:sz="0" w:space="0" w:color="auto"/>
            </w:tcBorders>
            <w:shd w:val="clear" w:color="auto" w:fill="17365D" w:themeFill="text2" w:themeFillShade="BF"/>
            <w:vAlign w:val="center"/>
          </w:tcPr>
          <w:p w14:paraId="0E8AF81A" w14:textId="77777777" w:rsidR="0053357C" w:rsidRPr="00124BCF"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Pounds</w:t>
            </w:r>
            <w:r w:rsidRPr="00124BCF">
              <w:rPr>
                <w:rFonts w:ascii="Arial" w:hAnsi="Arial" w:cs="Arial"/>
                <w:bCs w:val="0"/>
                <w:color w:val="FFFFFF" w:themeColor="background1"/>
                <w:sz w:val="18"/>
                <w:szCs w:val="18"/>
              </w:rPr>
              <w:t xml:space="preserve"> </w:t>
            </w:r>
            <w:r w:rsidRPr="00124BCF">
              <w:rPr>
                <w:rFonts w:ascii="Arial" w:hAnsi="Arial" w:cs="Arial"/>
                <w:bCs w:val="0"/>
                <w:color w:val="FFFFFF" w:themeColor="background1"/>
                <w:sz w:val="18"/>
                <w:szCs w:val="18"/>
              </w:rPr>
              <w:br/>
              <w:t>vs YA</w:t>
            </w:r>
          </w:p>
        </w:tc>
      </w:tr>
      <w:tr w:rsidR="0053357C" w:rsidRPr="000562A3" w14:paraId="4371B11D" w14:textId="77777777" w:rsidTr="00D04E75">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77777777" w:rsidR="0053357C" w:rsidRPr="000562A3" w:rsidRDefault="0053357C" w:rsidP="0053357C">
            <w:pPr>
              <w:rPr>
                <w:rFonts w:ascii="Arial" w:eastAsia="Times New Roman" w:hAnsi="Arial" w:cs="Arial"/>
                <w:color w:val="FFFFFF" w:themeColor="background1"/>
                <w:sz w:val="18"/>
                <w:szCs w:val="18"/>
              </w:rPr>
            </w:pPr>
            <w:r w:rsidRPr="000562A3">
              <w:rPr>
                <w:rFonts w:ascii="Arial" w:eastAsia="Times New Roman" w:hAnsi="Arial" w:cs="Arial"/>
                <w:color w:val="FFFFFF" w:themeColor="background1"/>
                <w:sz w:val="18"/>
                <w:szCs w:val="18"/>
              </w:rPr>
              <w:t>Frozen seafood</w:t>
            </w:r>
          </w:p>
        </w:tc>
        <w:tc>
          <w:tcPr>
            <w:tcW w:w="720" w:type="dxa"/>
            <w:shd w:val="clear" w:color="auto" w:fill="595959" w:themeFill="text1" w:themeFillTint="A6"/>
            <w:vAlign w:val="center"/>
          </w:tcPr>
          <w:p w14:paraId="1FFABA50" w14:textId="77777777"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0562A3">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Cs/>
                <w:color w:val="FFFFFF" w:themeColor="background1"/>
                <w:sz w:val="18"/>
                <w:szCs w:val="18"/>
              </w:rPr>
              <w:t>+2</w:t>
            </w:r>
            <w:r w:rsidRPr="000562A3">
              <w:rPr>
                <w:rFonts w:ascii="Arial" w:hAnsi="Arial" w:cs="Arial"/>
                <w:bCs/>
                <w:color w:val="FFFFFF" w:themeColor="background1"/>
                <w:sz w:val="18"/>
                <w:szCs w:val="18"/>
              </w:rPr>
              <w:t>%</w:t>
            </w:r>
          </w:p>
        </w:tc>
        <w:tc>
          <w:tcPr>
            <w:tcW w:w="712" w:type="dxa"/>
            <w:shd w:val="clear" w:color="auto" w:fill="595959" w:themeFill="text1" w:themeFillTint="A6"/>
            <w:vAlign w:val="center"/>
          </w:tcPr>
          <w:p w14:paraId="1F63C063" w14:textId="77777777"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hAnsi="Arial" w:cs="Arial"/>
                <w:bCs/>
                <w:color w:val="FFFFFF" w:themeColor="background1"/>
                <w:sz w:val="18"/>
                <w:szCs w:val="18"/>
              </w:rPr>
              <w:t>-1</w:t>
            </w:r>
            <w:r w:rsidRPr="000562A3">
              <w:rPr>
                <w:rFonts w:ascii="Arial" w:hAnsi="Arial" w:cs="Arial"/>
                <w:bCs/>
                <w:color w:val="FFFFFF" w:themeColor="background1"/>
                <w:sz w:val="18"/>
                <w:szCs w:val="18"/>
              </w:rPr>
              <w:t>%</w:t>
            </w:r>
          </w:p>
        </w:tc>
        <w:tc>
          <w:tcPr>
            <w:tcW w:w="712" w:type="dxa"/>
            <w:shd w:val="clear" w:color="auto" w:fill="595959" w:themeFill="text1" w:themeFillTint="A6"/>
            <w:vAlign w:val="center"/>
          </w:tcPr>
          <w:p w14:paraId="50D854D4" w14:textId="77777777"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0562A3">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Pr>
                <w:rFonts w:ascii="Arial" w:eastAsia="Times New Roman" w:hAnsi="Arial" w:cs="Arial"/>
                <w:color w:val="FFFFFF" w:themeColor="background1"/>
                <w:sz w:val="18"/>
                <w:szCs w:val="18"/>
              </w:rPr>
              <w:t>-3</w:t>
            </w:r>
            <w:r w:rsidRPr="000562A3">
              <w:rPr>
                <w:rFonts w:ascii="Arial" w:eastAsia="Times New Roman" w:hAnsi="Arial" w:cs="Arial"/>
                <w:color w:val="FFFFFF" w:themeColor="background1"/>
                <w:sz w:val="18"/>
                <w:szCs w:val="18"/>
              </w:rPr>
              <w:t>%</w:t>
            </w:r>
          </w:p>
        </w:tc>
        <w:tc>
          <w:tcPr>
            <w:tcW w:w="720" w:type="dxa"/>
            <w:shd w:val="clear" w:color="auto" w:fill="595959" w:themeFill="text1" w:themeFillTint="A6"/>
            <w:vAlign w:val="center"/>
          </w:tcPr>
          <w:p w14:paraId="77FC82F9" w14:textId="522166EB"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0562A3">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5</w:t>
            </w:r>
            <w:r w:rsidRPr="000562A3">
              <w:rPr>
                <w:rFonts w:ascii="Arial" w:eastAsia="Times New Roman" w:hAnsi="Arial" w:cs="Arial"/>
                <w:color w:val="FFFFFF" w:themeColor="background1"/>
                <w:sz w:val="18"/>
                <w:szCs w:val="18"/>
              </w:rPr>
              <w:t>%</w:t>
            </w:r>
          </w:p>
        </w:tc>
        <w:tc>
          <w:tcPr>
            <w:tcW w:w="720" w:type="dxa"/>
            <w:shd w:val="clear" w:color="auto" w:fill="595959" w:themeFill="text1" w:themeFillTint="A6"/>
            <w:vAlign w:val="center"/>
          </w:tcPr>
          <w:p w14:paraId="2D3991A1" w14:textId="3A31470A"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0562A3">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2</w:t>
            </w:r>
            <w:r w:rsidRPr="000562A3">
              <w:rPr>
                <w:rFonts w:ascii="Arial" w:eastAsia="Times New Roman" w:hAnsi="Arial" w:cs="Arial"/>
                <w:color w:val="FFFFFF" w:themeColor="background1"/>
                <w:sz w:val="18"/>
                <w:szCs w:val="18"/>
              </w:rPr>
              <w:t>%</w:t>
            </w:r>
          </w:p>
        </w:tc>
        <w:tc>
          <w:tcPr>
            <w:tcW w:w="864" w:type="dxa"/>
            <w:shd w:val="clear" w:color="auto" w:fill="595959" w:themeFill="text1" w:themeFillTint="A6"/>
            <w:vAlign w:val="center"/>
          </w:tcPr>
          <w:p w14:paraId="14949B0B" w14:textId="0295A9AE"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0562A3">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1.0</w:t>
            </w:r>
            <w:r w:rsidRPr="000562A3">
              <w:rPr>
                <w:rFonts w:ascii="Arial" w:eastAsia="Times New Roman" w:hAnsi="Arial" w:cs="Arial"/>
                <w:color w:val="FFFFFF" w:themeColor="background1"/>
                <w:sz w:val="18"/>
                <w:szCs w:val="18"/>
              </w:rPr>
              <w:t>%</w:t>
            </w:r>
          </w:p>
        </w:tc>
        <w:tc>
          <w:tcPr>
            <w:tcW w:w="864" w:type="dxa"/>
            <w:shd w:val="clear" w:color="auto" w:fill="595959" w:themeFill="text1" w:themeFillTint="A6"/>
            <w:vAlign w:val="center"/>
          </w:tcPr>
          <w:p w14:paraId="240CA866" w14:textId="7CC5895F"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0562A3">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0.1</w:t>
            </w:r>
            <w:r w:rsidRPr="000562A3">
              <w:rPr>
                <w:rFonts w:ascii="Arial" w:eastAsia="Times New Roman" w:hAnsi="Arial" w:cs="Arial"/>
                <w:color w:val="FFFFFF" w:themeColor="background1"/>
                <w:sz w:val="18"/>
                <w:szCs w:val="18"/>
              </w:rPr>
              <w:t>%</w:t>
            </w:r>
          </w:p>
        </w:tc>
        <w:tc>
          <w:tcPr>
            <w:tcW w:w="867" w:type="dxa"/>
            <w:shd w:val="clear" w:color="auto" w:fill="595959" w:themeFill="text1" w:themeFillTint="A6"/>
            <w:vAlign w:val="center"/>
          </w:tcPr>
          <w:p w14:paraId="14A51BC3" w14:textId="525ABE93"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0562A3">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738</w:t>
            </w:r>
            <w:r w:rsidRPr="000562A3">
              <w:rPr>
                <w:rFonts w:ascii="Arial" w:eastAsia="Times New Roman" w:hAnsi="Arial" w:cs="Arial"/>
                <w:color w:val="FFFFFF" w:themeColor="background1"/>
                <w:sz w:val="18"/>
                <w:szCs w:val="18"/>
              </w:rPr>
              <w:t>M</w:t>
            </w:r>
          </w:p>
        </w:tc>
        <w:tc>
          <w:tcPr>
            <w:tcW w:w="827" w:type="dxa"/>
            <w:shd w:val="clear" w:color="auto" w:fill="595959" w:themeFill="text1" w:themeFillTint="A6"/>
            <w:vAlign w:val="center"/>
          </w:tcPr>
          <w:p w14:paraId="1D26BEFD" w14:textId="16DD212C" w:rsidR="0053357C" w:rsidRPr="000562A3" w:rsidRDefault="0053357C" w:rsidP="0053357C">
            <w:pPr>
              <w:jc w:val="right"/>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rFonts w:ascii="Arial" w:hAnsi="Arial" w:cs="Arial"/>
                <w:color w:val="FFFFFF" w:themeColor="background1"/>
                <w:sz w:val="18"/>
                <w:szCs w:val="18"/>
              </w:rPr>
              <w:t>+5.1</w:t>
            </w:r>
            <w:r w:rsidRPr="000562A3">
              <w:rPr>
                <w:rFonts w:ascii="Arial" w:hAnsi="Arial" w:cs="Arial"/>
                <w:color w:val="FFFFFF" w:themeColor="background1"/>
                <w:sz w:val="18"/>
                <w:szCs w:val="18"/>
              </w:rPr>
              <w:t>%</w:t>
            </w:r>
          </w:p>
        </w:tc>
        <w:tc>
          <w:tcPr>
            <w:tcW w:w="905" w:type="dxa"/>
            <w:shd w:val="clear" w:color="auto" w:fill="595959" w:themeFill="text1" w:themeFillTint="A6"/>
            <w:vAlign w:val="center"/>
          </w:tcPr>
          <w:p w14:paraId="7279BDC2" w14:textId="495A8E5F" w:rsidR="0053357C" w:rsidRPr="000562A3" w:rsidRDefault="00F27198" w:rsidP="0053357C">
            <w:pPr>
              <w:jc w:val="right"/>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rFonts w:ascii="Arial" w:hAnsi="Arial" w:cs="Arial"/>
                <w:color w:val="FFFFFF" w:themeColor="background1"/>
                <w:sz w:val="18"/>
                <w:szCs w:val="18"/>
              </w:rPr>
              <w:t>+3.1</w:t>
            </w:r>
            <w:r w:rsidR="0053357C" w:rsidRPr="000562A3">
              <w:rPr>
                <w:rFonts w:ascii="Arial" w:hAnsi="Arial" w:cs="Arial"/>
                <w:color w:val="FFFFFF" w:themeColor="background1"/>
                <w:sz w:val="18"/>
                <w:szCs w:val="18"/>
              </w:rPr>
              <w:t>%</w:t>
            </w:r>
          </w:p>
        </w:tc>
      </w:tr>
      <w:tr w:rsidR="0053357C" w:rsidRPr="00FA2F0F" w14:paraId="3EA70345" w14:textId="77777777" w:rsidTr="0053357C">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53357C" w:rsidRPr="00FA2F0F" w:rsidRDefault="0053357C" w:rsidP="0053357C">
            <w:pPr>
              <w:rPr>
                <w:rFonts w:ascii="Arial" w:eastAsia="Times New Roman" w:hAnsi="Arial" w:cs="Arial"/>
                <w:b w:val="0"/>
                <w:color w:val="000000" w:themeColor="text1"/>
                <w:sz w:val="18"/>
                <w:szCs w:val="18"/>
              </w:rPr>
            </w:pPr>
            <w:r>
              <w:rPr>
                <w:rFonts w:ascii="Arial" w:eastAsia="Times New Roman" w:hAnsi="Arial" w:cs="Arial"/>
                <w:b w:val="0"/>
                <w:color w:val="000000" w:themeColor="text1"/>
                <w:sz w:val="18"/>
                <w:szCs w:val="18"/>
              </w:rPr>
              <w:t>S</w:t>
            </w:r>
            <w:r w:rsidRPr="00FA2F0F">
              <w:rPr>
                <w:rFonts w:ascii="Arial" w:eastAsia="Times New Roman" w:hAnsi="Arial" w:cs="Arial"/>
                <w:b w:val="0"/>
                <w:color w:val="000000" w:themeColor="text1"/>
                <w:sz w:val="18"/>
                <w:szCs w:val="18"/>
              </w:rPr>
              <w:t>hellfish</w:t>
            </w:r>
          </w:p>
        </w:tc>
        <w:tc>
          <w:tcPr>
            <w:tcW w:w="720" w:type="dxa"/>
            <w:vAlign w:val="center"/>
          </w:tcPr>
          <w:p w14:paraId="71BFCBA5"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A2F0F">
              <w:rPr>
                <w:rFonts w:ascii="Arial" w:hAnsi="Arial" w:cs="Arial"/>
                <w:bCs/>
                <w:color w:val="000000" w:themeColor="text1"/>
                <w:sz w:val="18"/>
                <w:szCs w:val="18"/>
              </w:rPr>
              <w:t>+42%</w:t>
            </w:r>
          </w:p>
        </w:tc>
        <w:tc>
          <w:tcPr>
            <w:tcW w:w="711" w:type="dxa"/>
            <w:vAlign w:val="center"/>
          </w:tcPr>
          <w:p w14:paraId="65F47D56"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+4</w:t>
            </w:r>
            <w:r w:rsidRPr="00FA2F0F">
              <w:rPr>
                <w:rFonts w:ascii="Arial" w:hAnsi="Arial" w:cs="Arial"/>
                <w:bCs/>
                <w:color w:val="000000" w:themeColor="text1"/>
                <w:sz w:val="18"/>
                <w:szCs w:val="18"/>
              </w:rPr>
              <w:t>%</w:t>
            </w:r>
          </w:p>
        </w:tc>
        <w:tc>
          <w:tcPr>
            <w:tcW w:w="712" w:type="dxa"/>
            <w:vAlign w:val="center"/>
          </w:tcPr>
          <w:p w14:paraId="6F794AF1"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-5</w:t>
            </w:r>
            <w:r w:rsidRPr="00FA2F0F">
              <w:rPr>
                <w:rFonts w:ascii="Arial" w:hAnsi="Arial" w:cs="Arial"/>
                <w:bCs/>
                <w:color w:val="000000" w:themeColor="text1"/>
                <w:sz w:val="18"/>
                <w:szCs w:val="18"/>
              </w:rPr>
              <w:t>%</w:t>
            </w:r>
          </w:p>
        </w:tc>
        <w:tc>
          <w:tcPr>
            <w:tcW w:w="712" w:type="dxa"/>
            <w:vAlign w:val="center"/>
          </w:tcPr>
          <w:p w14:paraId="1B3D05AD"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w:t>
            </w:r>
          </w:p>
        </w:tc>
        <w:tc>
          <w:tcPr>
            <w:tcW w:w="720" w:type="dxa"/>
            <w:vAlign w:val="center"/>
          </w:tcPr>
          <w:p w14:paraId="0F0F76B9" w14:textId="39873284"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-3%</w:t>
            </w:r>
          </w:p>
        </w:tc>
        <w:tc>
          <w:tcPr>
            <w:tcW w:w="720" w:type="dxa"/>
            <w:vAlign w:val="center"/>
          </w:tcPr>
          <w:p w14:paraId="5F4A4583" w14:textId="5E3EB947"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-7%</w:t>
            </w:r>
          </w:p>
        </w:tc>
        <w:tc>
          <w:tcPr>
            <w:tcW w:w="720" w:type="dxa"/>
            <w:vAlign w:val="center"/>
          </w:tcPr>
          <w:p w14:paraId="3F59962B" w14:textId="07ED302E" w:rsidR="0053357C" w:rsidRPr="004F1E6D"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w:t>
            </w:r>
          </w:p>
        </w:tc>
        <w:tc>
          <w:tcPr>
            <w:tcW w:w="864" w:type="dxa"/>
            <w:vAlign w:val="center"/>
          </w:tcPr>
          <w:p w14:paraId="6AE2D8D1" w14:textId="6C71B276"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-3.2%</w:t>
            </w:r>
          </w:p>
        </w:tc>
        <w:tc>
          <w:tcPr>
            <w:tcW w:w="864" w:type="dxa"/>
            <w:vAlign w:val="center"/>
          </w:tcPr>
          <w:p w14:paraId="1BA4CB08" w14:textId="261C6DF7"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+0.4%</w:t>
            </w:r>
          </w:p>
        </w:tc>
        <w:tc>
          <w:tcPr>
            <w:tcW w:w="867" w:type="dxa"/>
            <w:vAlign w:val="center"/>
          </w:tcPr>
          <w:p w14:paraId="1C0DA430" w14:textId="5AF31488"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$406</w:t>
            </w:r>
            <w:r w:rsidRPr="004F1E6D">
              <w:rPr>
                <w:rFonts w:ascii="Arial" w:eastAsia="Times New Roman" w:hAnsi="Arial" w:cs="Arial"/>
                <w:color w:val="000000" w:themeColor="text1"/>
                <w:sz w:val="18"/>
                <w:szCs w:val="18"/>
              </w:rPr>
              <w:t>M</w:t>
            </w:r>
          </w:p>
        </w:tc>
        <w:tc>
          <w:tcPr>
            <w:tcW w:w="827" w:type="dxa"/>
            <w:vAlign w:val="center"/>
          </w:tcPr>
          <w:p w14:paraId="52607458" w14:textId="46528E53"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Pr>
                <w:rFonts w:ascii="Arial" w:hAnsi="Arial" w:cs="Arial"/>
                <w:color w:val="000000" w:themeColor="text1"/>
                <w:sz w:val="18"/>
                <w:szCs w:val="18"/>
              </w:rPr>
              <w:t>+2.6</w:t>
            </w:r>
            <w:r w:rsidRPr="008666DE">
              <w:rPr>
                <w:rFonts w:ascii="Arial" w:hAnsi="Arial" w:cs="Arial"/>
                <w:color w:val="000000" w:themeColor="text1"/>
                <w:sz w:val="18"/>
                <w:szCs w:val="18"/>
              </w:rPr>
              <w:t>%</w:t>
            </w:r>
          </w:p>
        </w:tc>
        <w:tc>
          <w:tcPr>
            <w:tcW w:w="905" w:type="dxa"/>
            <w:vAlign w:val="center"/>
          </w:tcPr>
          <w:p w14:paraId="595C2291" w14:textId="786D5AB0"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Pr>
                <w:rFonts w:ascii="Arial" w:hAnsi="Arial" w:cs="Arial"/>
                <w:color w:val="000000" w:themeColor="text1"/>
                <w:sz w:val="18"/>
                <w:szCs w:val="18"/>
              </w:rPr>
              <w:t>+1.</w:t>
            </w:r>
            <w:r w:rsidR="009D4BDE">
              <w:rPr>
                <w:rFonts w:ascii="Arial" w:hAnsi="Arial" w:cs="Arial"/>
                <w:color w:val="000000" w:themeColor="text1"/>
                <w:sz w:val="18"/>
                <w:szCs w:val="18"/>
              </w:rPr>
              <w:t>4</w:t>
            </w:r>
            <w:r w:rsidRPr="008666DE">
              <w:rPr>
                <w:rFonts w:ascii="Arial" w:hAnsi="Arial" w:cs="Arial"/>
                <w:color w:val="000000" w:themeColor="text1"/>
                <w:sz w:val="18"/>
                <w:szCs w:val="18"/>
              </w:rPr>
              <w:t>%</w:t>
            </w:r>
          </w:p>
        </w:tc>
      </w:tr>
      <w:tr w:rsidR="0053357C" w:rsidRPr="00FA2F0F" w14:paraId="5735DC78" w14:textId="77777777" w:rsidTr="0053357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53357C" w:rsidRPr="00FA2F0F" w:rsidRDefault="0053357C" w:rsidP="0053357C">
            <w:pPr>
              <w:rPr>
                <w:rFonts w:ascii="Arial" w:eastAsia="Times New Roman" w:hAnsi="Arial" w:cs="Arial"/>
                <w:b w:val="0"/>
                <w:color w:val="000000" w:themeColor="text1"/>
                <w:sz w:val="18"/>
                <w:szCs w:val="18"/>
              </w:rPr>
            </w:pPr>
            <w:r>
              <w:rPr>
                <w:rFonts w:ascii="Arial" w:eastAsia="Times New Roman" w:hAnsi="Arial" w:cs="Arial"/>
                <w:b w:val="0"/>
                <w:color w:val="000000" w:themeColor="text1"/>
                <w:sz w:val="18"/>
                <w:szCs w:val="18"/>
              </w:rPr>
              <w:t>F</w:t>
            </w:r>
            <w:r w:rsidRPr="00FA2F0F">
              <w:rPr>
                <w:rFonts w:ascii="Arial" w:eastAsia="Times New Roman" w:hAnsi="Arial" w:cs="Arial"/>
                <w:b w:val="0"/>
                <w:color w:val="000000" w:themeColor="text1"/>
                <w:sz w:val="18"/>
                <w:szCs w:val="18"/>
              </w:rPr>
              <w:t>infish</w:t>
            </w:r>
          </w:p>
        </w:tc>
        <w:tc>
          <w:tcPr>
            <w:tcW w:w="720" w:type="dxa"/>
            <w:shd w:val="clear" w:color="auto" w:fill="D9D9D9" w:themeFill="background1" w:themeFillShade="D9"/>
            <w:vAlign w:val="center"/>
          </w:tcPr>
          <w:p w14:paraId="1FA9DA3B"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+32</w:t>
            </w:r>
            <w:r w:rsidRPr="00FA2F0F">
              <w:rPr>
                <w:rFonts w:ascii="Arial" w:hAnsi="Arial" w:cs="Arial"/>
                <w:bCs/>
                <w:color w:val="000000" w:themeColor="text1"/>
                <w:sz w:val="18"/>
                <w:szCs w:val="18"/>
              </w:rPr>
              <w:t>%</w:t>
            </w:r>
          </w:p>
        </w:tc>
        <w:tc>
          <w:tcPr>
            <w:tcW w:w="711" w:type="dxa"/>
            <w:shd w:val="clear" w:color="auto" w:fill="D9D9D9" w:themeFill="background1" w:themeFillShade="D9"/>
            <w:vAlign w:val="center"/>
          </w:tcPr>
          <w:p w14:paraId="5225CC58"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-1</w:t>
            </w:r>
            <w:r w:rsidRPr="00FA2F0F">
              <w:rPr>
                <w:rFonts w:ascii="Arial" w:hAnsi="Arial" w:cs="Arial"/>
                <w:bCs/>
                <w:color w:val="000000" w:themeColor="text1"/>
                <w:sz w:val="18"/>
                <w:szCs w:val="18"/>
              </w:rPr>
              <w:t>%</w:t>
            </w:r>
          </w:p>
        </w:tc>
        <w:tc>
          <w:tcPr>
            <w:tcW w:w="712" w:type="dxa"/>
            <w:shd w:val="clear" w:color="auto" w:fill="D9D9D9" w:themeFill="background1" w:themeFillShade="D9"/>
            <w:vAlign w:val="center"/>
          </w:tcPr>
          <w:p w14:paraId="0F1D2DAE"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+7</w:t>
            </w:r>
            <w:r w:rsidRPr="00FA2F0F">
              <w:rPr>
                <w:rFonts w:ascii="Arial" w:hAnsi="Arial" w:cs="Arial"/>
                <w:bCs/>
                <w:color w:val="000000" w:themeColor="text1"/>
                <w:sz w:val="18"/>
                <w:szCs w:val="18"/>
              </w:rPr>
              <w:t>%</w:t>
            </w:r>
          </w:p>
        </w:tc>
        <w:tc>
          <w:tcPr>
            <w:tcW w:w="712" w:type="dxa"/>
            <w:shd w:val="clear" w:color="auto" w:fill="D9D9D9" w:themeFill="background1" w:themeFillShade="D9"/>
            <w:vAlign w:val="center"/>
          </w:tcPr>
          <w:p w14:paraId="6D6E1A4A"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53357C"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-1%</w:t>
            </w:r>
          </w:p>
        </w:tc>
        <w:tc>
          <w:tcPr>
            <w:tcW w:w="720" w:type="dxa"/>
            <w:shd w:val="clear" w:color="auto" w:fill="D9D9D9" w:themeFill="background1" w:themeFillShade="D9"/>
            <w:vAlign w:val="center"/>
          </w:tcPr>
          <w:p w14:paraId="1F329616" w14:textId="770EED3E" w:rsidR="0053357C" w:rsidRPr="006D4F06"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72B48B2D" w14:textId="68ABFF3F"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w:t>
            </w:r>
          </w:p>
        </w:tc>
        <w:tc>
          <w:tcPr>
            <w:tcW w:w="864" w:type="dxa"/>
            <w:shd w:val="clear" w:color="auto" w:fill="D9D9D9" w:themeFill="background1" w:themeFillShade="D9"/>
            <w:vAlign w:val="center"/>
          </w:tcPr>
          <w:p w14:paraId="134C3E9A" w14:textId="1B69C8FB"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+1.8%</w:t>
            </w:r>
          </w:p>
        </w:tc>
        <w:tc>
          <w:tcPr>
            <w:tcW w:w="864" w:type="dxa"/>
            <w:shd w:val="clear" w:color="auto" w:fill="D9D9D9" w:themeFill="background1" w:themeFillShade="D9"/>
            <w:vAlign w:val="center"/>
          </w:tcPr>
          <w:p w14:paraId="6F0A5A28" w14:textId="35358B63"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-1.1%</w:t>
            </w:r>
          </w:p>
        </w:tc>
        <w:tc>
          <w:tcPr>
            <w:tcW w:w="867" w:type="dxa"/>
            <w:shd w:val="clear" w:color="auto" w:fill="D9D9D9" w:themeFill="background1" w:themeFillShade="D9"/>
            <w:vAlign w:val="center"/>
          </w:tcPr>
          <w:p w14:paraId="7B31A3EB" w14:textId="61FB07B5"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F1E6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307</w:t>
            </w:r>
            <w:r w:rsidRPr="004F1E6D">
              <w:rPr>
                <w:rFonts w:ascii="Arial" w:eastAsia="Times New Roman" w:hAnsi="Arial" w:cs="Arial"/>
                <w:color w:val="000000" w:themeColor="text1"/>
                <w:sz w:val="18"/>
                <w:szCs w:val="18"/>
              </w:rPr>
              <w:t>M</w:t>
            </w:r>
          </w:p>
        </w:tc>
        <w:tc>
          <w:tcPr>
            <w:tcW w:w="827" w:type="dxa"/>
            <w:shd w:val="clear" w:color="auto" w:fill="D9D9D9" w:themeFill="background1" w:themeFillShade="D9"/>
            <w:vAlign w:val="center"/>
          </w:tcPr>
          <w:p w14:paraId="3A6A6416" w14:textId="2AA264EB"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Pr>
                <w:rFonts w:ascii="Arial" w:hAnsi="Arial" w:cs="Arial"/>
                <w:color w:val="000000" w:themeColor="text1"/>
                <w:sz w:val="18"/>
                <w:szCs w:val="18"/>
              </w:rPr>
              <w:t>+8.4</w:t>
            </w:r>
            <w:r w:rsidRPr="008666DE">
              <w:rPr>
                <w:rFonts w:ascii="Arial" w:hAnsi="Arial" w:cs="Arial"/>
                <w:color w:val="000000" w:themeColor="text1"/>
                <w:sz w:val="18"/>
                <w:szCs w:val="18"/>
              </w:rPr>
              <w:t>%</w:t>
            </w:r>
          </w:p>
        </w:tc>
        <w:tc>
          <w:tcPr>
            <w:tcW w:w="905" w:type="dxa"/>
            <w:shd w:val="clear" w:color="auto" w:fill="D9D9D9" w:themeFill="background1" w:themeFillShade="D9"/>
            <w:vAlign w:val="center"/>
          </w:tcPr>
          <w:p w14:paraId="1E8E6142" w14:textId="18846993"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Pr>
                <w:rFonts w:ascii="Arial" w:hAnsi="Arial" w:cs="Arial"/>
                <w:color w:val="000000" w:themeColor="text1"/>
                <w:sz w:val="18"/>
                <w:szCs w:val="18"/>
              </w:rPr>
              <w:t>+</w:t>
            </w:r>
            <w:r w:rsidR="009D4BDE">
              <w:rPr>
                <w:rFonts w:ascii="Arial" w:hAnsi="Arial" w:cs="Arial"/>
                <w:color w:val="000000" w:themeColor="text1"/>
                <w:sz w:val="18"/>
                <w:szCs w:val="18"/>
              </w:rPr>
              <w:t>5.1</w:t>
            </w:r>
            <w:r w:rsidRPr="008666DE">
              <w:rPr>
                <w:rFonts w:ascii="Arial" w:hAnsi="Arial" w:cs="Arial"/>
                <w:color w:val="000000" w:themeColor="text1"/>
                <w:sz w:val="18"/>
                <w:szCs w:val="18"/>
              </w:rPr>
              <w:t>%</w:t>
            </w:r>
          </w:p>
        </w:tc>
      </w:tr>
      <w:tr w:rsidR="0053357C" w:rsidRPr="00FA2F0F" w14:paraId="712EA03E" w14:textId="77777777" w:rsidTr="0053357C">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53357C" w:rsidRPr="00FA2F0F" w:rsidRDefault="0053357C" w:rsidP="0053357C">
            <w:pPr>
              <w:rPr>
                <w:rFonts w:ascii="Arial" w:eastAsia="Times New Roman" w:hAnsi="Arial" w:cs="Arial"/>
                <w:b w:val="0"/>
                <w:color w:val="000000" w:themeColor="text1"/>
                <w:sz w:val="18"/>
                <w:szCs w:val="18"/>
              </w:rPr>
            </w:pPr>
            <w:r w:rsidRPr="00FA2F0F">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+36</w:t>
            </w:r>
            <w:r w:rsidRPr="00FA2F0F">
              <w:rPr>
                <w:rFonts w:ascii="Arial" w:hAnsi="Arial" w:cs="Arial"/>
                <w:bCs/>
                <w:color w:val="000000" w:themeColor="text1"/>
                <w:sz w:val="18"/>
                <w:szCs w:val="18"/>
              </w:rPr>
              <w:t>%</w:t>
            </w:r>
          </w:p>
        </w:tc>
        <w:tc>
          <w:tcPr>
            <w:tcW w:w="711" w:type="dxa"/>
            <w:vAlign w:val="center"/>
          </w:tcPr>
          <w:p w14:paraId="04B68791"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+6</w:t>
            </w:r>
            <w:r w:rsidRPr="00FA2F0F">
              <w:rPr>
                <w:rFonts w:ascii="Arial" w:hAnsi="Arial" w:cs="Arial"/>
                <w:bCs/>
                <w:color w:val="000000" w:themeColor="text1"/>
                <w:sz w:val="18"/>
                <w:szCs w:val="18"/>
              </w:rPr>
              <w:t>%</w:t>
            </w:r>
          </w:p>
        </w:tc>
        <w:tc>
          <w:tcPr>
            <w:tcW w:w="712" w:type="dxa"/>
            <w:vAlign w:val="center"/>
          </w:tcPr>
          <w:p w14:paraId="697B71F5"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-4</w:t>
            </w:r>
            <w:r w:rsidRPr="00FA2F0F">
              <w:rPr>
                <w:rFonts w:ascii="Arial" w:hAnsi="Arial" w:cs="Arial"/>
                <w:bCs/>
                <w:color w:val="000000" w:themeColor="text1"/>
                <w:sz w:val="18"/>
                <w:szCs w:val="18"/>
              </w:rPr>
              <w:t>%</w:t>
            </w:r>
          </w:p>
        </w:tc>
        <w:tc>
          <w:tcPr>
            <w:tcW w:w="712" w:type="dxa"/>
            <w:vAlign w:val="center"/>
          </w:tcPr>
          <w:p w14:paraId="3FCFAB41" w14:textId="7777777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w:t>
            </w:r>
          </w:p>
        </w:tc>
        <w:tc>
          <w:tcPr>
            <w:tcW w:w="720" w:type="dxa"/>
            <w:vAlign w:val="center"/>
          </w:tcPr>
          <w:p w14:paraId="1CE9C1FE" w14:textId="64370F60"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-4%</w:t>
            </w:r>
          </w:p>
        </w:tc>
        <w:tc>
          <w:tcPr>
            <w:tcW w:w="720" w:type="dxa"/>
            <w:vAlign w:val="center"/>
          </w:tcPr>
          <w:p w14:paraId="4EC3FDE5" w14:textId="355C0BEE" w:rsidR="0053357C" w:rsidRPr="006D4F06"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w:t>
            </w:r>
          </w:p>
        </w:tc>
        <w:tc>
          <w:tcPr>
            <w:tcW w:w="720" w:type="dxa"/>
            <w:vAlign w:val="center"/>
          </w:tcPr>
          <w:p w14:paraId="4FF0251D" w14:textId="2E1B5844"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-7%</w:t>
            </w:r>
          </w:p>
        </w:tc>
        <w:tc>
          <w:tcPr>
            <w:tcW w:w="864" w:type="dxa"/>
            <w:vAlign w:val="center"/>
          </w:tcPr>
          <w:p w14:paraId="4ACCAB17" w14:textId="72E87643"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+12.8%</w:t>
            </w:r>
          </w:p>
        </w:tc>
        <w:tc>
          <w:tcPr>
            <w:tcW w:w="864" w:type="dxa"/>
            <w:vAlign w:val="center"/>
          </w:tcPr>
          <w:p w14:paraId="28CC7E3A" w14:textId="23EBB2EA" w:rsidR="0053357C"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+6.2%</w:t>
            </w:r>
          </w:p>
        </w:tc>
        <w:tc>
          <w:tcPr>
            <w:tcW w:w="867" w:type="dxa"/>
            <w:vAlign w:val="center"/>
          </w:tcPr>
          <w:p w14:paraId="48134DFD" w14:textId="067EAA17"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$24M</w:t>
            </w:r>
          </w:p>
        </w:tc>
        <w:tc>
          <w:tcPr>
            <w:tcW w:w="827" w:type="dxa"/>
            <w:vAlign w:val="center"/>
          </w:tcPr>
          <w:p w14:paraId="27A3B15D" w14:textId="17B51838"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Pr>
                <w:rFonts w:ascii="Arial" w:hAnsi="Arial" w:cs="Arial"/>
                <w:color w:val="000000" w:themeColor="text1"/>
                <w:sz w:val="18"/>
                <w:szCs w:val="18"/>
              </w:rPr>
              <w:t>+7.4</w:t>
            </w:r>
            <w:r w:rsidRPr="008666DE">
              <w:rPr>
                <w:rFonts w:ascii="Arial" w:hAnsi="Arial" w:cs="Arial"/>
                <w:color w:val="000000" w:themeColor="text1"/>
                <w:sz w:val="18"/>
                <w:szCs w:val="18"/>
              </w:rPr>
              <w:t>%</w:t>
            </w:r>
          </w:p>
        </w:tc>
        <w:tc>
          <w:tcPr>
            <w:tcW w:w="905" w:type="dxa"/>
            <w:vAlign w:val="center"/>
          </w:tcPr>
          <w:p w14:paraId="4DD7F714" w14:textId="39F852F2" w:rsidR="0053357C" w:rsidRPr="00FA2F0F" w:rsidRDefault="0053357C" w:rsidP="0053357C">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Pr>
                <w:rFonts w:ascii="Arial" w:hAnsi="Arial" w:cs="Arial"/>
                <w:color w:val="000000" w:themeColor="text1"/>
                <w:sz w:val="18"/>
                <w:szCs w:val="18"/>
              </w:rPr>
              <w:t>-</w:t>
            </w:r>
            <w:r w:rsidR="00F27198">
              <w:rPr>
                <w:rFonts w:ascii="Arial" w:hAnsi="Arial" w:cs="Arial"/>
                <w:color w:val="000000" w:themeColor="text1"/>
                <w:sz w:val="18"/>
                <w:szCs w:val="18"/>
              </w:rPr>
              <w:t>0</w:t>
            </w:r>
            <w:r>
              <w:rPr>
                <w:rFonts w:ascii="Arial" w:hAnsi="Arial" w:cs="Arial"/>
                <w:color w:val="000000" w:themeColor="text1"/>
                <w:sz w:val="18"/>
                <w:szCs w:val="18"/>
              </w:rPr>
              <w:t>.8</w:t>
            </w:r>
            <w:r w:rsidRPr="008666DE">
              <w:rPr>
                <w:rFonts w:ascii="Arial" w:hAnsi="Arial" w:cs="Arial"/>
                <w:color w:val="000000" w:themeColor="text1"/>
                <w:sz w:val="18"/>
                <w:szCs w:val="18"/>
              </w:rPr>
              <w:t>%</w:t>
            </w:r>
          </w:p>
        </w:tc>
      </w:tr>
      <w:tr w:rsidR="0053357C" w:rsidRPr="00FA2F0F" w14:paraId="0F5C9896" w14:textId="77777777" w:rsidTr="0053357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53357C" w:rsidRPr="00FA2F0F" w:rsidRDefault="0053357C" w:rsidP="0053357C">
            <w:pPr>
              <w:rPr>
                <w:rFonts w:ascii="Arial" w:eastAsia="Times New Roman" w:hAnsi="Arial" w:cs="Arial"/>
                <w:b w:val="0"/>
                <w:color w:val="000000" w:themeColor="text1"/>
                <w:sz w:val="18"/>
                <w:szCs w:val="18"/>
              </w:rPr>
            </w:pPr>
            <w:r>
              <w:rPr>
                <w:rFonts w:ascii="Arial" w:eastAsia="Times New Roman" w:hAnsi="Arial" w:cs="Arial"/>
                <w:b w:val="0"/>
                <w:color w:val="000000" w:themeColor="text1"/>
                <w:sz w:val="18"/>
                <w:szCs w:val="18"/>
              </w:rPr>
              <w:t>S</w:t>
            </w:r>
            <w:r w:rsidRPr="00FA2F0F">
              <w:rPr>
                <w:rFonts w:ascii="Arial" w:eastAsia="Times New Roman" w:hAnsi="Arial" w:cs="Arial"/>
                <w:b w:val="0"/>
                <w:color w:val="000000" w:themeColor="text1"/>
                <w:sz w:val="18"/>
                <w:szCs w:val="18"/>
              </w:rPr>
              <w:t>eafood alternatives</w:t>
            </w:r>
          </w:p>
        </w:tc>
        <w:tc>
          <w:tcPr>
            <w:tcW w:w="720" w:type="dxa"/>
            <w:shd w:val="clear" w:color="auto" w:fill="D9D9D9" w:themeFill="background1" w:themeFillShade="D9"/>
            <w:vAlign w:val="center"/>
          </w:tcPr>
          <w:p w14:paraId="6672C75C"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+22</w:t>
            </w:r>
            <w:r w:rsidRPr="00FA2F0F">
              <w:rPr>
                <w:rFonts w:ascii="Arial" w:hAnsi="Arial" w:cs="Arial"/>
                <w:bCs/>
                <w:color w:val="000000" w:themeColor="text1"/>
                <w:sz w:val="18"/>
                <w:szCs w:val="18"/>
              </w:rPr>
              <w:t>%</w:t>
            </w:r>
          </w:p>
        </w:tc>
        <w:tc>
          <w:tcPr>
            <w:tcW w:w="711" w:type="dxa"/>
            <w:shd w:val="clear" w:color="auto" w:fill="D9D9D9" w:themeFill="background1" w:themeFillShade="D9"/>
            <w:vAlign w:val="center"/>
          </w:tcPr>
          <w:p w14:paraId="5C56F8F9"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+19</w:t>
            </w:r>
            <w:r w:rsidRPr="00FA2F0F">
              <w:rPr>
                <w:rFonts w:ascii="Arial" w:hAnsi="Arial" w:cs="Arial"/>
                <w:bCs/>
                <w:color w:val="000000" w:themeColor="text1"/>
                <w:sz w:val="18"/>
                <w:szCs w:val="18"/>
              </w:rPr>
              <w:t>%</w:t>
            </w:r>
          </w:p>
        </w:tc>
        <w:tc>
          <w:tcPr>
            <w:tcW w:w="712" w:type="dxa"/>
            <w:shd w:val="clear" w:color="auto" w:fill="D9D9D9" w:themeFill="background1" w:themeFillShade="D9"/>
            <w:vAlign w:val="center"/>
          </w:tcPr>
          <w:p w14:paraId="0F9A5F85"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+16</w:t>
            </w:r>
            <w:r w:rsidRPr="00FA2F0F">
              <w:rPr>
                <w:rFonts w:ascii="Arial" w:hAnsi="Arial" w:cs="Arial"/>
                <w:bCs/>
                <w:color w:val="000000" w:themeColor="text1"/>
                <w:sz w:val="18"/>
                <w:szCs w:val="18"/>
              </w:rPr>
              <w:t>%</w:t>
            </w:r>
          </w:p>
        </w:tc>
        <w:tc>
          <w:tcPr>
            <w:tcW w:w="712" w:type="dxa"/>
            <w:shd w:val="clear" w:color="auto" w:fill="D9D9D9" w:themeFill="background1" w:themeFillShade="D9"/>
            <w:vAlign w:val="center"/>
          </w:tcPr>
          <w:p w14:paraId="304F3CD8" w14:textId="77777777"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53357C"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eastAsia="Times New Roman" w:hAnsi="Arial" w:cs="Arial"/>
                <w:color w:val="000000" w:themeColor="text1"/>
                <w:sz w:val="18"/>
                <w:szCs w:val="18"/>
              </w:rPr>
              <w:t>-5%</w:t>
            </w:r>
          </w:p>
        </w:tc>
        <w:tc>
          <w:tcPr>
            <w:tcW w:w="720" w:type="dxa"/>
            <w:shd w:val="clear" w:color="auto" w:fill="D9D9D9" w:themeFill="background1" w:themeFillShade="D9"/>
            <w:vAlign w:val="center"/>
          </w:tcPr>
          <w:p w14:paraId="62E21629" w14:textId="3BB169CB" w:rsidR="0053357C" w:rsidRPr="006D4F06"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16791CCE" w14:textId="69BFBC6A"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3F52D29E" w14:textId="781FECF4"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-3.4%</w:t>
            </w:r>
          </w:p>
        </w:tc>
        <w:tc>
          <w:tcPr>
            <w:tcW w:w="864" w:type="dxa"/>
            <w:shd w:val="clear" w:color="auto" w:fill="D9D9D9" w:themeFill="background1" w:themeFillShade="D9"/>
            <w:vAlign w:val="center"/>
          </w:tcPr>
          <w:p w14:paraId="6766D1AF" w14:textId="10E414AF" w:rsidR="0053357C" w:rsidRPr="004F1E6D"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-2.0%</w:t>
            </w:r>
          </w:p>
        </w:tc>
        <w:tc>
          <w:tcPr>
            <w:tcW w:w="867" w:type="dxa"/>
            <w:shd w:val="clear" w:color="auto" w:fill="D9D9D9" w:themeFill="background1" w:themeFillShade="D9"/>
            <w:vAlign w:val="center"/>
          </w:tcPr>
          <w:p w14:paraId="6E87220E" w14:textId="7A89142C"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F1E6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789K</w:t>
            </w:r>
          </w:p>
        </w:tc>
        <w:tc>
          <w:tcPr>
            <w:tcW w:w="827" w:type="dxa"/>
            <w:shd w:val="clear" w:color="auto" w:fill="D9D9D9" w:themeFill="background1" w:themeFillShade="D9"/>
            <w:vAlign w:val="center"/>
          </w:tcPr>
          <w:p w14:paraId="51325A1D" w14:textId="06954418" w:rsidR="0053357C" w:rsidRPr="00FA2F0F" w:rsidRDefault="0053357C" w:rsidP="0053357C">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Pr>
                <w:rFonts w:ascii="Arial" w:hAnsi="Arial" w:cs="Arial"/>
                <w:color w:val="000000" w:themeColor="text1"/>
                <w:sz w:val="18"/>
                <w:szCs w:val="18"/>
              </w:rPr>
              <w:t>+7.3</w:t>
            </w:r>
            <w:r w:rsidRPr="008666DE">
              <w:rPr>
                <w:rFonts w:ascii="Arial" w:hAnsi="Arial" w:cs="Arial"/>
                <w:color w:val="000000" w:themeColor="text1"/>
                <w:sz w:val="18"/>
                <w:szCs w:val="18"/>
              </w:rPr>
              <w:t>%</w:t>
            </w:r>
          </w:p>
        </w:tc>
        <w:tc>
          <w:tcPr>
            <w:tcW w:w="905" w:type="dxa"/>
            <w:shd w:val="clear" w:color="auto" w:fill="D9D9D9" w:themeFill="background1" w:themeFillShade="D9"/>
            <w:vAlign w:val="center"/>
          </w:tcPr>
          <w:p w14:paraId="13B7DB16" w14:textId="529C73A5" w:rsidR="0053357C" w:rsidRPr="00FA2F0F" w:rsidRDefault="00F27198" w:rsidP="0053357C">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Pr>
                <w:rFonts w:ascii="Arial" w:hAnsi="Arial" w:cs="Arial"/>
                <w:color w:val="000000" w:themeColor="text1"/>
                <w:sz w:val="18"/>
                <w:szCs w:val="18"/>
              </w:rPr>
              <w:t>+3.0</w:t>
            </w:r>
            <w:r w:rsidR="0053357C" w:rsidRPr="008666DE">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291AC4BB" w14:textId="77777777" w:rsidR="007C4ED5" w:rsidRPr="000A6F81" w:rsidRDefault="007C4ED5" w:rsidP="007C4ED5">
      <w:pPr>
        <w:pStyle w:val="NoSpacing"/>
        <w:rPr>
          <w:rFonts w:ascii="Arial" w:hAnsi="Arial" w:cs="Arial"/>
          <w:color w:val="7F7F7F" w:themeColor="text1" w:themeTint="80"/>
          <w:sz w:val="16"/>
          <w:szCs w:val="14"/>
        </w:rPr>
      </w:pPr>
      <w:r w:rsidRPr="000A6F81">
        <w:rPr>
          <w:rFonts w:ascii="Arial" w:hAnsi="Arial" w:cs="Arial"/>
          <w:color w:val="7F7F7F" w:themeColor="text1" w:themeTint="80"/>
          <w:sz w:val="16"/>
          <w:szCs w:val="14"/>
        </w:rPr>
        <w:t>Source: Circana, Integrated Fresh, Total US, MULO+</w:t>
      </w:r>
    </w:p>
    <w:p w14:paraId="71ACA84F" w14:textId="3208797B" w:rsidR="00BE7E48" w:rsidRDefault="00BE7E48">
      <w:pPr>
        <w:rPr>
          <w:rFonts w:ascii="Arial" w:hAnsi="Arial" w:cs="Arial"/>
          <w:b/>
          <w:bCs/>
          <w:color w:val="00857C"/>
        </w:rPr>
      </w:pPr>
    </w:p>
    <w:p w14:paraId="336BB76C" w14:textId="77777777" w:rsidR="00BE7E48" w:rsidRDefault="00BE7E48" w:rsidP="004970F6">
      <w:pPr>
        <w:pStyle w:val="NoSpacing"/>
        <w:rPr>
          <w:rFonts w:ascii="Arial" w:hAnsi="Arial" w:cs="Arial"/>
          <w:b/>
          <w:bCs/>
          <w:color w:val="00857C"/>
        </w:rPr>
      </w:pPr>
    </w:p>
    <w:p w14:paraId="7A8EA595" w14:textId="22DF0B1A" w:rsidR="00F7176E" w:rsidRPr="00C24355" w:rsidRDefault="00E5115C" w:rsidP="004970F6">
      <w:pPr>
        <w:pStyle w:val="NoSpacing"/>
        <w:rPr>
          <w:rFonts w:ascii="Arial" w:hAnsi="Arial" w:cs="Arial"/>
          <w:b/>
          <w:bCs/>
          <w:color w:val="00857C"/>
        </w:rPr>
      </w:pPr>
      <w:r w:rsidRPr="00C24355">
        <w:rPr>
          <w:rFonts w:ascii="Arial" w:hAnsi="Arial" w:cs="Arial"/>
          <w:b/>
          <w:bCs/>
          <w:color w:val="00857C"/>
        </w:rPr>
        <w:lastRenderedPageBreak/>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5E9A8896" w:rsidR="00E5115C" w:rsidRDefault="00376789" w:rsidP="004970F6">
      <w:pPr>
        <w:pStyle w:val="NoSpacing"/>
        <w:rPr>
          <w:rFonts w:ascii="Arial" w:hAnsi="Arial" w:cs="Arial"/>
          <w:color w:val="000000" w:themeColor="text1"/>
          <w:sz w:val="20"/>
          <w:szCs w:val="20"/>
        </w:rPr>
      </w:pPr>
      <w:r w:rsidRPr="00376789">
        <w:rPr>
          <w:rFonts w:ascii="Arial" w:hAnsi="Arial" w:cs="Arial"/>
          <w:color w:val="000000" w:themeColor="text1"/>
          <w:sz w:val="20"/>
          <w:szCs w:val="20"/>
        </w:rPr>
        <w:t xml:space="preserve">Shrimp </w:t>
      </w:r>
      <w:r w:rsidR="009D4BDE">
        <w:rPr>
          <w:rFonts w:ascii="Arial" w:hAnsi="Arial" w:cs="Arial"/>
          <w:color w:val="000000" w:themeColor="text1"/>
          <w:sz w:val="20"/>
          <w:szCs w:val="20"/>
        </w:rPr>
        <w:t>were</w:t>
      </w:r>
      <w:r w:rsidRPr="00376789">
        <w:rPr>
          <w:rFonts w:ascii="Arial" w:hAnsi="Arial" w:cs="Arial"/>
          <w:color w:val="000000" w:themeColor="text1"/>
          <w:sz w:val="20"/>
          <w:szCs w:val="20"/>
        </w:rPr>
        <w:t xml:space="preserve"> the frozen seafoo</w:t>
      </w:r>
      <w:r w:rsidR="002A7FFC">
        <w:rPr>
          <w:rFonts w:ascii="Arial" w:hAnsi="Arial" w:cs="Arial"/>
          <w:color w:val="000000" w:themeColor="text1"/>
          <w:sz w:val="20"/>
          <w:szCs w:val="20"/>
        </w:rPr>
        <w:t xml:space="preserve">d </w:t>
      </w:r>
      <w:r w:rsidR="002A7FFC" w:rsidRPr="003C17D9">
        <w:rPr>
          <w:rFonts w:ascii="Arial" w:hAnsi="Arial" w:cs="Arial"/>
          <w:color w:val="000000" w:themeColor="text1"/>
          <w:sz w:val="20"/>
          <w:szCs w:val="20"/>
        </w:rPr>
        <w:t xml:space="preserve">powerhouse, with sales of </w:t>
      </w:r>
      <w:r w:rsidR="007A4AC6" w:rsidRPr="003C17D9">
        <w:rPr>
          <w:rFonts w:ascii="Arial" w:hAnsi="Arial" w:cs="Arial"/>
          <w:color w:val="000000" w:themeColor="text1"/>
          <w:sz w:val="20"/>
          <w:szCs w:val="20"/>
        </w:rPr>
        <w:t>$</w:t>
      </w:r>
      <w:r w:rsidR="005062A1">
        <w:rPr>
          <w:rFonts w:ascii="Arial" w:hAnsi="Arial" w:cs="Arial"/>
          <w:color w:val="000000" w:themeColor="text1"/>
          <w:sz w:val="20"/>
          <w:szCs w:val="20"/>
        </w:rPr>
        <w:t>4.1</w:t>
      </w:r>
      <w:r w:rsidR="00885E9D" w:rsidRPr="003C17D9">
        <w:rPr>
          <w:rFonts w:ascii="Arial" w:hAnsi="Arial" w:cs="Arial"/>
          <w:color w:val="000000" w:themeColor="text1"/>
          <w:sz w:val="20"/>
          <w:szCs w:val="20"/>
        </w:rPr>
        <w:t xml:space="preserve"> billion in the latest 52 weeks. </w:t>
      </w:r>
      <w:r w:rsidR="00CD7509">
        <w:rPr>
          <w:rFonts w:ascii="Arial" w:hAnsi="Arial" w:cs="Arial"/>
          <w:color w:val="000000" w:themeColor="text1"/>
          <w:sz w:val="20"/>
          <w:szCs w:val="20"/>
        </w:rPr>
        <w:t>Shrimp</w:t>
      </w:r>
      <w:r w:rsidR="00BA455E">
        <w:rPr>
          <w:rFonts w:ascii="Arial" w:hAnsi="Arial" w:cs="Arial"/>
          <w:color w:val="000000" w:themeColor="text1"/>
          <w:sz w:val="20"/>
          <w:szCs w:val="20"/>
        </w:rPr>
        <w:t xml:space="preserve"> has seen an improvement in performance si</w:t>
      </w:r>
      <w:r w:rsidR="000A6F81">
        <w:rPr>
          <w:rFonts w:ascii="Arial" w:hAnsi="Arial" w:cs="Arial"/>
          <w:color w:val="000000" w:themeColor="text1"/>
          <w:sz w:val="20"/>
          <w:szCs w:val="20"/>
        </w:rPr>
        <w:t>nce September</w:t>
      </w:r>
      <w:r w:rsidR="00BE7E48">
        <w:rPr>
          <w:rFonts w:ascii="Arial" w:hAnsi="Arial" w:cs="Arial"/>
          <w:color w:val="000000" w:themeColor="text1"/>
          <w:sz w:val="20"/>
          <w:szCs w:val="20"/>
        </w:rPr>
        <w:t xml:space="preserve"> 2024</w:t>
      </w:r>
      <w:r w:rsidR="009D4BDE">
        <w:rPr>
          <w:rFonts w:ascii="Arial" w:hAnsi="Arial" w:cs="Arial"/>
          <w:color w:val="000000" w:themeColor="text1"/>
          <w:sz w:val="20"/>
          <w:szCs w:val="20"/>
        </w:rPr>
        <w:t>, with a brief pause due the Lent date mismatch in the February reporting. Growth resumed in March</w:t>
      </w:r>
      <w:r w:rsidR="00FE2B06">
        <w:rPr>
          <w:rFonts w:ascii="Arial" w:hAnsi="Arial" w:cs="Arial"/>
          <w:color w:val="000000" w:themeColor="text1"/>
          <w:sz w:val="20"/>
          <w:szCs w:val="20"/>
        </w:rPr>
        <w:t>.</w:t>
      </w:r>
      <w:r w:rsidR="009D4BDE">
        <w:rPr>
          <w:rFonts w:ascii="Arial" w:hAnsi="Arial" w:cs="Arial"/>
          <w:color w:val="000000" w:themeColor="text1"/>
          <w:sz w:val="20"/>
          <w:szCs w:val="20"/>
        </w:rPr>
        <w:t xml:space="preserve"> Additionally, salmon pounds are also growing once more. </w:t>
      </w:r>
    </w:p>
    <w:p w14:paraId="74D815F6" w14:textId="20CF768E" w:rsidR="008436FE" w:rsidRDefault="008436FE" w:rsidP="004970F6">
      <w:pPr>
        <w:pStyle w:val="NoSpacing"/>
        <w:rPr>
          <w:rFonts w:ascii="Arial" w:hAnsi="Arial" w:cs="Arial"/>
          <w:color w:val="000000" w:themeColor="text1"/>
          <w:sz w:val="20"/>
          <w:szCs w:val="2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2070"/>
        <w:gridCol w:w="1455"/>
        <w:gridCol w:w="1455"/>
        <w:gridCol w:w="1455"/>
        <w:gridCol w:w="45"/>
        <w:gridCol w:w="1410"/>
        <w:gridCol w:w="1290"/>
        <w:gridCol w:w="1440"/>
      </w:tblGrid>
      <w:tr w:rsidR="00C853F3" w:rsidRPr="00A80540" w14:paraId="74E8430C" w14:textId="77777777" w:rsidTr="0053357C">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5E8D3EC1" w14:textId="361015CB"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 2025</w:t>
            </w:r>
          </w:p>
        </w:tc>
        <w:tc>
          <w:tcPr>
            <w:tcW w:w="4140"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FB1ED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tcBorders>
              <w:left w:val="none" w:sz="0" w:space="0" w:color="auto"/>
              <w:right w:val="none" w:sz="0" w:space="0" w:color="auto"/>
            </w:tcBorders>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tcBorders>
              <w:left w:val="none" w:sz="0" w:space="0" w:color="auto"/>
              <w:right w:val="none" w:sz="0" w:space="0" w:color="auto"/>
            </w:tcBorders>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55" w:type="dxa"/>
            <w:tcBorders>
              <w:left w:val="none" w:sz="0" w:space="0" w:color="auto"/>
              <w:right w:val="single" w:sz="4" w:space="0" w:color="auto"/>
            </w:tcBorders>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55" w:type="dxa"/>
            <w:gridSpan w:val="2"/>
            <w:tcBorders>
              <w:left w:val="single" w:sz="4" w:space="0" w:color="auto"/>
              <w:right w:val="none" w:sz="0" w:space="0" w:color="auto"/>
            </w:tcBorders>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tcBorders>
              <w:left w:val="none" w:sz="0" w:space="0" w:color="auto"/>
              <w:right w:val="none" w:sz="0" w:space="0" w:color="auto"/>
            </w:tcBorders>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tcBorders>
              <w:left w:val="none" w:sz="0" w:space="0" w:color="auto"/>
              <w:right w:val="none" w:sz="0" w:space="0" w:color="auto"/>
            </w:tcBorders>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0941C5" w:rsidRPr="00FA2F0F" w14:paraId="582E83F8"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0941C5" w:rsidRPr="00FA2F0F" w:rsidRDefault="000941C5" w:rsidP="00BE7E48">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vAlign w:val="center"/>
          </w:tcPr>
          <w:p w14:paraId="34226FF4" w14:textId="76ACD7D8"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062A1">
              <w:rPr>
                <w:rFonts w:ascii="Arial" w:eastAsia="Times New Roman" w:hAnsi="Arial" w:cs="Arial"/>
                <w:color w:val="000000" w:themeColor="text1"/>
                <w:sz w:val="18"/>
                <w:szCs w:val="18"/>
              </w:rPr>
              <w:t>3</w:t>
            </w:r>
            <w:r w:rsidR="0053357C">
              <w:rPr>
                <w:rFonts w:ascii="Arial" w:eastAsia="Times New Roman" w:hAnsi="Arial" w:cs="Arial"/>
                <w:color w:val="000000" w:themeColor="text1"/>
                <w:sz w:val="18"/>
                <w:szCs w:val="18"/>
              </w:rPr>
              <w:t>47</w:t>
            </w:r>
            <w:r w:rsidRPr="00E16D02">
              <w:rPr>
                <w:rFonts w:ascii="Arial" w:eastAsia="Times New Roman" w:hAnsi="Arial" w:cs="Arial"/>
                <w:color w:val="000000" w:themeColor="text1"/>
                <w:sz w:val="18"/>
                <w:szCs w:val="18"/>
              </w:rPr>
              <w:t>M</w:t>
            </w:r>
          </w:p>
        </w:tc>
        <w:tc>
          <w:tcPr>
            <w:tcW w:w="1455" w:type="dxa"/>
            <w:vAlign w:val="center"/>
          </w:tcPr>
          <w:p w14:paraId="282DA3A2" w14:textId="6D245CA9" w:rsidR="000941C5" w:rsidRPr="00FA2F0F" w:rsidRDefault="0053357C"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+3.1</w:t>
            </w:r>
            <w:r w:rsidR="000941C5" w:rsidRPr="00C14222">
              <w:rPr>
                <w:rFonts w:ascii="Arial" w:hAnsi="Arial" w:cs="Arial"/>
                <w:color w:val="000000" w:themeColor="text1"/>
                <w:sz w:val="18"/>
                <w:szCs w:val="18"/>
              </w:rPr>
              <w:t>%</w:t>
            </w:r>
          </w:p>
        </w:tc>
        <w:tc>
          <w:tcPr>
            <w:tcW w:w="1455" w:type="dxa"/>
            <w:tcBorders>
              <w:right w:val="single" w:sz="4" w:space="0" w:color="auto"/>
            </w:tcBorders>
            <w:vAlign w:val="center"/>
          </w:tcPr>
          <w:p w14:paraId="79EB35F8" w14:textId="0DFB3A86" w:rsidR="000941C5" w:rsidRPr="00FA2F0F" w:rsidRDefault="0053357C"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+1.5</w:t>
            </w:r>
            <w:r w:rsidR="000941C5"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59A2F10C" w14:textId="42259813"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E144A8">
              <w:rPr>
                <w:rFonts w:ascii="Arial" w:hAnsi="Arial" w:cs="Arial"/>
                <w:color w:val="000000" w:themeColor="text1"/>
                <w:sz w:val="18"/>
                <w:szCs w:val="18"/>
              </w:rPr>
              <w:t>4.1</w:t>
            </w:r>
            <w:r w:rsidRPr="00FA2F0F">
              <w:rPr>
                <w:rFonts w:ascii="Arial" w:hAnsi="Arial" w:cs="Arial"/>
                <w:color w:val="000000" w:themeColor="text1"/>
                <w:sz w:val="18"/>
                <w:szCs w:val="18"/>
              </w:rPr>
              <w:t>B</w:t>
            </w:r>
          </w:p>
        </w:tc>
        <w:tc>
          <w:tcPr>
            <w:tcW w:w="1290" w:type="dxa"/>
            <w:vAlign w:val="center"/>
          </w:tcPr>
          <w:p w14:paraId="5B063ED0" w14:textId="7B640B90"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53357C">
              <w:rPr>
                <w:rFonts w:ascii="Arial" w:hAnsi="Arial" w:cs="Arial"/>
                <w:color w:val="000000" w:themeColor="text1"/>
                <w:sz w:val="18"/>
                <w:szCs w:val="18"/>
              </w:rPr>
              <w:t>0</w:t>
            </w:r>
            <w:r w:rsidR="005062A1">
              <w:rPr>
                <w:rFonts w:ascii="Arial" w:hAnsi="Arial" w:cs="Arial"/>
                <w:color w:val="000000" w:themeColor="text1"/>
                <w:sz w:val="18"/>
                <w:szCs w:val="18"/>
              </w:rPr>
              <w:t>.</w:t>
            </w:r>
            <w:r w:rsidR="00E144A8">
              <w:rPr>
                <w:rFonts w:ascii="Arial" w:hAnsi="Arial" w:cs="Arial"/>
                <w:color w:val="000000" w:themeColor="text1"/>
                <w:sz w:val="18"/>
                <w:szCs w:val="18"/>
              </w:rPr>
              <w:t>2</w:t>
            </w:r>
            <w:r w:rsidRPr="00A27C2F">
              <w:rPr>
                <w:rFonts w:ascii="Arial" w:hAnsi="Arial" w:cs="Arial"/>
                <w:color w:val="000000" w:themeColor="text1"/>
                <w:sz w:val="18"/>
                <w:szCs w:val="18"/>
              </w:rPr>
              <w:t>%</w:t>
            </w:r>
          </w:p>
        </w:tc>
        <w:tc>
          <w:tcPr>
            <w:tcW w:w="1440" w:type="dxa"/>
            <w:vAlign w:val="center"/>
          </w:tcPr>
          <w:p w14:paraId="19A48928" w14:textId="2C9E49EA"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72417">
              <w:rPr>
                <w:rFonts w:ascii="Arial" w:hAnsi="Arial" w:cs="Arial"/>
                <w:color w:val="000000" w:themeColor="text1"/>
                <w:sz w:val="18"/>
                <w:szCs w:val="18"/>
              </w:rPr>
              <w:t>+</w:t>
            </w:r>
            <w:r w:rsidR="0053357C">
              <w:rPr>
                <w:rFonts w:ascii="Arial" w:hAnsi="Arial" w:cs="Arial"/>
                <w:color w:val="000000" w:themeColor="text1"/>
                <w:sz w:val="18"/>
                <w:szCs w:val="18"/>
              </w:rPr>
              <w:t>1.3</w:t>
            </w:r>
            <w:r w:rsidRPr="00372417">
              <w:rPr>
                <w:rFonts w:ascii="Arial" w:hAnsi="Arial" w:cs="Arial"/>
                <w:color w:val="000000" w:themeColor="text1"/>
                <w:sz w:val="18"/>
                <w:szCs w:val="18"/>
              </w:rPr>
              <w:t>%</w:t>
            </w:r>
          </w:p>
        </w:tc>
      </w:tr>
      <w:tr w:rsidR="000941C5" w:rsidRPr="00FA2F0F" w14:paraId="3C23A2D5" w14:textId="77777777" w:rsidTr="00BE7E4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0B89A307" w14:textId="74D3B502" w:rsidR="000941C5" w:rsidRPr="00FA2F0F" w:rsidRDefault="000941C5" w:rsidP="00BE7E48">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Borders>
              <w:left w:val="none" w:sz="0" w:space="0" w:color="auto"/>
              <w:right w:val="none" w:sz="0" w:space="0" w:color="auto"/>
            </w:tcBorders>
            <w:shd w:val="clear" w:color="auto" w:fill="D9D9D9" w:themeFill="background1" w:themeFillShade="D9"/>
            <w:vAlign w:val="center"/>
          </w:tcPr>
          <w:p w14:paraId="3A400688" w14:textId="77CBACC8"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3357C">
              <w:rPr>
                <w:rFonts w:ascii="Arial" w:eastAsia="Times New Roman" w:hAnsi="Arial" w:cs="Arial"/>
                <w:color w:val="000000" w:themeColor="text1"/>
                <w:sz w:val="18"/>
                <w:szCs w:val="18"/>
              </w:rPr>
              <w:t>91</w:t>
            </w:r>
            <w:r w:rsidRPr="00E16D02">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vAlign w:val="center"/>
          </w:tcPr>
          <w:p w14:paraId="454751B8" w14:textId="49B83861"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+7.8</w:t>
            </w:r>
            <w:r w:rsidR="000941C5" w:rsidRPr="00C14222">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vAlign w:val="center"/>
          </w:tcPr>
          <w:p w14:paraId="5C16D02A" w14:textId="623851A7"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+8.2</w:t>
            </w:r>
            <w:r w:rsidR="000941C5" w:rsidRPr="00C14222">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vAlign w:val="center"/>
          </w:tcPr>
          <w:p w14:paraId="221E222A" w14:textId="5EDD9D7E"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53357C">
              <w:rPr>
                <w:rFonts w:ascii="Arial" w:hAnsi="Arial" w:cs="Arial"/>
                <w:color w:val="000000" w:themeColor="text1"/>
                <w:sz w:val="18"/>
                <w:szCs w:val="18"/>
              </w:rPr>
              <w:t>1.0B</w:t>
            </w:r>
          </w:p>
        </w:tc>
        <w:tc>
          <w:tcPr>
            <w:tcW w:w="1290" w:type="dxa"/>
            <w:tcBorders>
              <w:left w:val="none" w:sz="0" w:space="0" w:color="auto"/>
              <w:right w:val="none" w:sz="0" w:space="0" w:color="auto"/>
            </w:tcBorders>
            <w:shd w:val="clear" w:color="auto" w:fill="D9D9D9" w:themeFill="background1" w:themeFillShade="D9"/>
            <w:vAlign w:val="center"/>
          </w:tcPr>
          <w:p w14:paraId="79116A6A" w14:textId="31DF81EB"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53357C">
              <w:rPr>
                <w:rFonts w:ascii="Arial" w:hAnsi="Arial" w:cs="Arial"/>
                <w:color w:val="000000" w:themeColor="text1"/>
                <w:sz w:val="18"/>
                <w:szCs w:val="18"/>
              </w:rPr>
              <w:t>3.4</w:t>
            </w:r>
            <w:r w:rsidRPr="00A27C2F">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vAlign w:val="center"/>
          </w:tcPr>
          <w:p w14:paraId="2C2C5773" w14:textId="24654312"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+0.3</w:t>
            </w:r>
            <w:r w:rsidR="000941C5" w:rsidRPr="00372417">
              <w:rPr>
                <w:rFonts w:ascii="Arial" w:hAnsi="Arial" w:cs="Arial"/>
                <w:color w:val="000000" w:themeColor="text1"/>
                <w:sz w:val="18"/>
                <w:szCs w:val="18"/>
              </w:rPr>
              <w:t>%</w:t>
            </w:r>
          </w:p>
        </w:tc>
      </w:tr>
      <w:tr w:rsidR="000941C5" w:rsidRPr="00FA2F0F" w14:paraId="16ADAA82"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1A5CB28" w14:textId="1F730D1A"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vAlign w:val="center"/>
          </w:tcPr>
          <w:p w14:paraId="706F8576" w14:textId="411AB037"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6D6580">
              <w:rPr>
                <w:rFonts w:ascii="Arial" w:eastAsia="Times New Roman" w:hAnsi="Arial" w:cs="Arial"/>
                <w:color w:val="000000" w:themeColor="text1"/>
                <w:sz w:val="18"/>
                <w:szCs w:val="18"/>
              </w:rPr>
              <w:t>72</w:t>
            </w:r>
            <w:r w:rsidRPr="00E16D02">
              <w:rPr>
                <w:rFonts w:ascii="Arial" w:eastAsia="Times New Roman" w:hAnsi="Arial" w:cs="Arial"/>
                <w:color w:val="000000" w:themeColor="text1"/>
                <w:sz w:val="18"/>
                <w:szCs w:val="18"/>
              </w:rPr>
              <w:t>M</w:t>
            </w:r>
          </w:p>
        </w:tc>
        <w:tc>
          <w:tcPr>
            <w:tcW w:w="1455" w:type="dxa"/>
            <w:vAlign w:val="center"/>
          </w:tcPr>
          <w:p w14:paraId="015FE819" w14:textId="3320AA68"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+11.4</w:t>
            </w:r>
            <w:r w:rsidR="000941C5" w:rsidRPr="00C23353">
              <w:rPr>
                <w:rFonts w:ascii="Arial" w:hAnsi="Arial" w:cs="Arial"/>
                <w:color w:val="000000" w:themeColor="text1"/>
                <w:sz w:val="18"/>
                <w:szCs w:val="18"/>
              </w:rPr>
              <w:t>%</w:t>
            </w:r>
          </w:p>
        </w:tc>
        <w:tc>
          <w:tcPr>
            <w:tcW w:w="1455" w:type="dxa"/>
            <w:tcBorders>
              <w:right w:val="single" w:sz="4" w:space="0" w:color="auto"/>
            </w:tcBorders>
            <w:vAlign w:val="center"/>
          </w:tcPr>
          <w:p w14:paraId="5757ADAB" w14:textId="3B659B31"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+6.6</w:t>
            </w:r>
            <w:r w:rsidR="000941C5"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12D3806D" w14:textId="16F3FCDD"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E144A8">
              <w:rPr>
                <w:rFonts w:ascii="Arial" w:eastAsia="Times New Roman" w:hAnsi="Arial" w:cs="Arial"/>
                <w:color w:val="000000" w:themeColor="text1"/>
                <w:sz w:val="18"/>
                <w:szCs w:val="18"/>
              </w:rPr>
              <w:t>6</w:t>
            </w:r>
            <w:r w:rsidR="006D6580">
              <w:rPr>
                <w:rFonts w:ascii="Arial" w:eastAsia="Times New Roman" w:hAnsi="Arial" w:cs="Arial"/>
                <w:color w:val="000000" w:themeColor="text1"/>
                <w:sz w:val="18"/>
                <w:szCs w:val="18"/>
              </w:rPr>
              <w:t>13</w:t>
            </w:r>
            <w:r w:rsidRPr="00D640C2">
              <w:rPr>
                <w:rFonts w:ascii="Arial" w:eastAsia="Times New Roman" w:hAnsi="Arial" w:cs="Arial"/>
                <w:color w:val="000000" w:themeColor="text1"/>
                <w:sz w:val="18"/>
                <w:szCs w:val="18"/>
              </w:rPr>
              <w:t>M</w:t>
            </w:r>
          </w:p>
        </w:tc>
        <w:tc>
          <w:tcPr>
            <w:tcW w:w="1290" w:type="dxa"/>
            <w:vAlign w:val="center"/>
          </w:tcPr>
          <w:p w14:paraId="56F281BB" w14:textId="7218B785"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144A8">
              <w:rPr>
                <w:rFonts w:ascii="Arial" w:hAnsi="Arial" w:cs="Arial"/>
                <w:color w:val="000000" w:themeColor="text1"/>
                <w:sz w:val="18"/>
                <w:szCs w:val="18"/>
              </w:rPr>
              <w:t>2.</w:t>
            </w:r>
            <w:r w:rsidR="006D6580">
              <w:rPr>
                <w:rFonts w:ascii="Arial" w:hAnsi="Arial" w:cs="Arial"/>
                <w:color w:val="000000" w:themeColor="text1"/>
                <w:sz w:val="18"/>
                <w:szCs w:val="18"/>
              </w:rPr>
              <w:t>2</w:t>
            </w:r>
            <w:r w:rsidRPr="00A27C2F">
              <w:rPr>
                <w:rFonts w:ascii="Arial" w:hAnsi="Arial" w:cs="Arial"/>
                <w:color w:val="000000" w:themeColor="text1"/>
                <w:sz w:val="18"/>
                <w:szCs w:val="18"/>
              </w:rPr>
              <w:t>%</w:t>
            </w:r>
          </w:p>
        </w:tc>
        <w:tc>
          <w:tcPr>
            <w:tcW w:w="1440" w:type="dxa"/>
            <w:vAlign w:val="center"/>
          </w:tcPr>
          <w:p w14:paraId="3067BC40" w14:textId="6D206C66"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-0.3</w:t>
            </w:r>
            <w:r w:rsidR="000941C5" w:rsidRPr="00372417">
              <w:rPr>
                <w:rFonts w:ascii="Arial" w:hAnsi="Arial" w:cs="Arial"/>
                <w:color w:val="000000" w:themeColor="text1"/>
                <w:sz w:val="18"/>
                <w:szCs w:val="18"/>
              </w:rPr>
              <w:t>%</w:t>
            </w:r>
          </w:p>
        </w:tc>
      </w:tr>
      <w:tr w:rsidR="000941C5" w:rsidRPr="00FA2F0F" w14:paraId="4CFEB2F4" w14:textId="77777777" w:rsidTr="00BE7E4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5E8E237C" w14:textId="62240A4A"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Borders>
              <w:left w:val="none" w:sz="0" w:space="0" w:color="auto"/>
              <w:right w:val="none" w:sz="0" w:space="0" w:color="auto"/>
            </w:tcBorders>
            <w:shd w:val="clear" w:color="auto" w:fill="D9D9D9" w:themeFill="background1" w:themeFillShade="D9"/>
            <w:vAlign w:val="center"/>
          </w:tcPr>
          <w:p w14:paraId="0DF42BCF" w14:textId="1D3BF2FD"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6D6580">
              <w:rPr>
                <w:rFonts w:ascii="Arial" w:eastAsia="Times New Roman" w:hAnsi="Arial" w:cs="Arial"/>
                <w:color w:val="000000" w:themeColor="text1"/>
                <w:sz w:val="18"/>
                <w:szCs w:val="18"/>
              </w:rPr>
              <w:t>51</w:t>
            </w:r>
            <w:r w:rsidRPr="00E16D02">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vAlign w:val="center"/>
          </w:tcPr>
          <w:p w14:paraId="6B415CEB" w14:textId="6E3B73B0" w:rsidR="000941C5" w:rsidRPr="00FA2F0F" w:rsidRDefault="006D6580"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+5.5</w:t>
            </w:r>
            <w:r w:rsidR="000941C5" w:rsidRPr="00C23353">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vAlign w:val="center"/>
          </w:tcPr>
          <w:p w14:paraId="45969077" w14:textId="47484D3A"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14222">
              <w:rPr>
                <w:rFonts w:ascii="Arial" w:hAnsi="Arial" w:cs="Arial"/>
                <w:color w:val="000000" w:themeColor="text1"/>
                <w:sz w:val="18"/>
                <w:szCs w:val="18"/>
              </w:rPr>
              <w:t>-</w:t>
            </w:r>
            <w:r w:rsidR="006D6580">
              <w:rPr>
                <w:rFonts w:ascii="Arial" w:hAnsi="Arial" w:cs="Arial"/>
                <w:color w:val="000000" w:themeColor="text1"/>
                <w:sz w:val="18"/>
                <w:szCs w:val="18"/>
              </w:rPr>
              <w:t>0.1</w:t>
            </w:r>
            <w:r w:rsidRPr="00C14222">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vAlign w:val="center"/>
          </w:tcPr>
          <w:p w14:paraId="4168082C" w14:textId="7F3CE584"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6D6580">
              <w:rPr>
                <w:rFonts w:ascii="Arial" w:eastAsia="Times New Roman" w:hAnsi="Arial" w:cs="Arial"/>
                <w:color w:val="000000" w:themeColor="text1"/>
                <w:sz w:val="18"/>
                <w:szCs w:val="18"/>
              </w:rPr>
              <w:t>539</w:t>
            </w:r>
            <w:r w:rsidRPr="00D640C2">
              <w:rPr>
                <w:rFonts w:ascii="Arial" w:eastAsia="Times New Roman" w:hAnsi="Arial" w:cs="Arial"/>
                <w:color w:val="000000" w:themeColor="text1"/>
                <w:sz w:val="18"/>
                <w:szCs w:val="18"/>
              </w:rPr>
              <w:t>M</w:t>
            </w:r>
          </w:p>
        </w:tc>
        <w:tc>
          <w:tcPr>
            <w:tcW w:w="1290" w:type="dxa"/>
            <w:tcBorders>
              <w:left w:val="none" w:sz="0" w:space="0" w:color="auto"/>
              <w:right w:val="none" w:sz="0" w:space="0" w:color="auto"/>
            </w:tcBorders>
            <w:shd w:val="clear" w:color="auto" w:fill="D9D9D9" w:themeFill="background1" w:themeFillShade="D9"/>
            <w:vAlign w:val="center"/>
          </w:tcPr>
          <w:p w14:paraId="4F0E61C4" w14:textId="2C7D5932"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6D6580">
              <w:rPr>
                <w:rFonts w:ascii="Arial" w:hAnsi="Arial" w:cs="Arial"/>
                <w:color w:val="000000" w:themeColor="text1"/>
                <w:sz w:val="18"/>
                <w:szCs w:val="18"/>
              </w:rPr>
              <w:t>1.1</w:t>
            </w:r>
            <w:r w:rsidRPr="00A27C2F">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vAlign w:val="center"/>
          </w:tcPr>
          <w:p w14:paraId="75C9779D" w14:textId="547609FE"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E144A8">
              <w:rPr>
                <w:rFonts w:ascii="Arial" w:hAnsi="Arial" w:cs="Arial"/>
                <w:color w:val="000000" w:themeColor="text1"/>
                <w:sz w:val="18"/>
                <w:szCs w:val="18"/>
              </w:rPr>
              <w:t>5.</w:t>
            </w:r>
            <w:r w:rsidR="006D6580">
              <w:rPr>
                <w:rFonts w:ascii="Arial" w:hAnsi="Arial" w:cs="Arial"/>
                <w:color w:val="000000" w:themeColor="text1"/>
                <w:sz w:val="18"/>
                <w:szCs w:val="18"/>
              </w:rPr>
              <w:t>3</w:t>
            </w:r>
            <w:r w:rsidRPr="00A27C2F">
              <w:rPr>
                <w:rFonts w:ascii="Arial" w:hAnsi="Arial" w:cs="Arial"/>
                <w:color w:val="000000" w:themeColor="text1"/>
                <w:sz w:val="18"/>
                <w:szCs w:val="18"/>
              </w:rPr>
              <w:t>%</w:t>
            </w:r>
          </w:p>
        </w:tc>
      </w:tr>
      <w:tr w:rsidR="000941C5" w:rsidRPr="00FA2F0F" w14:paraId="7CEF3C20"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35DF4A54"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Pr>
                <w:rFonts w:ascii="Arial" w:eastAsia="Times New Roman" w:hAnsi="Arial" w:cs="Arial"/>
                <w:b w:val="0"/>
                <w:color w:val="000000" w:themeColor="text1"/>
                <w:sz w:val="18"/>
                <w:szCs w:val="18"/>
              </w:rPr>
              <w:t>od</w:t>
            </w:r>
          </w:p>
        </w:tc>
        <w:tc>
          <w:tcPr>
            <w:tcW w:w="1455" w:type="dxa"/>
            <w:vAlign w:val="center"/>
          </w:tcPr>
          <w:p w14:paraId="1FA12974" w14:textId="49F569FD"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6D6580">
              <w:rPr>
                <w:rFonts w:ascii="Arial" w:eastAsia="Times New Roman" w:hAnsi="Arial" w:cs="Arial"/>
                <w:color w:val="000000" w:themeColor="text1"/>
                <w:sz w:val="18"/>
                <w:szCs w:val="18"/>
              </w:rPr>
              <w:t>31M</w:t>
            </w:r>
          </w:p>
        </w:tc>
        <w:tc>
          <w:tcPr>
            <w:tcW w:w="1455" w:type="dxa"/>
            <w:vAlign w:val="center"/>
          </w:tcPr>
          <w:p w14:paraId="04C006FC" w14:textId="7BB23D02"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+4.1</w:t>
            </w:r>
            <w:r w:rsidR="000941C5" w:rsidRPr="00C23353">
              <w:rPr>
                <w:rFonts w:ascii="Arial" w:hAnsi="Arial" w:cs="Arial"/>
                <w:color w:val="000000" w:themeColor="text1"/>
                <w:sz w:val="18"/>
                <w:szCs w:val="18"/>
              </w:rPr>
              <w:t>%</w:t>
            </w:r>
          </w:p>
        </w:tc>
        <w:tc>
          <w:tcPr>
            <w:tcW w:w="1455" w:type="dxa"/>
            <w:tcBorders>
              <w:right w:val="single" w:sz="4" w:space="0" w:color="auto"/>
            </w:tcBorders>
            <w:vAlign w:val="center"/>
          </w:tcPr>
          <w:p w14:paraId="55D89BBB" w14:textId="6F4D5F8F"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14222">
              <w:rPr>
                <w:rFonts w:ascii="Arial" w:hAnsi="Arial" w:cs="Arial"/>
                <w:color w:val="000000" w:themeColor="text1"/>
                <w:sz w:val="18"/>
                <w:szCs w:val="18"/>
              </w:rPr>
              <w:t>-</w:t>
            </w:r>
            <w:r w:rsidR="006D6580">
              <w:rPr>
                <w:rFonts w:ascii="Arial" w:hAnsi="Arial" w:cs="Arial"/>
                <w:color w:val="000000" w:themeColor="text1"/>
                <w:sz w:val="18"/>
                <w:szCs w:val="18"/>
              </w:rPr>
              <w:t>3.6</w:t>
            </w:r>
            <w:r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02224226" w14:textId="1C9C60A5"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6D6580">
              <w:rPr>
                <w:rFonts w:ascii="Arial" w:eastAsia="Times New Roman" w:hAnsi="Arial" w:cs="Arial"/>
                <w:color w:val="000000" w:themeColor="text1"/>
                <w:sz w:val="18"/>
                <w:szCs w:val="18"/>
              </w:rPr>
              <w:t>303</w:t>
            </w:r>
            <w:r w:rsidRPr="00D640C2">
              <w:rPr>
                <w:rFonts w:ascii="Arial" w:eastAsia="Times New Roman" w:hAnsi="Arial" w:cs="Arial"/>
                <w:color w:val="000000" w:themeColor="text1"/>
                <w:sz w:val="18"/>
                <w:szCs w:val="18"/>
              </w:rPr>
              <w:t>M</w:t>
            </w:r>
          </w:p>
        </w:tc>
        <w:tc>
          <w:tcPr>
            <w:tcW w:w="1290" w:type="dxa"/>
            <w:vAlign w:val="center"/>
          </w:tcPr>
          <w:p w14:paraId="77504BA5" w14:textId="6358EB4B"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6D6580">
              <w:rPr>
                <w:rFonts w:ascii="Arial" w:hAnsi="Arial" w:cs="Arial"/>
                <w:color w:val="000000" w:themeColor="text1"/>
                <w:sz w:val="18"/>
                <w:szCs w:val="18"/>
              </w:rPr>
              <w:t>2.0</w:t>
            </w:r>
            <w:r w:rsidRPr="00A27C2F">
              <w:rPr>
                <w:rFonts w:ascii="Arial" w:hAnsi="Arial" w:cs="Arial"/>
                <w:color w:val="000000" w:themeColor="text1"/>
                <w:sz w:val="18"/>
                <w:szCs w:val="18"/>
              </w:rPr>
              <w:t>%</w:t>
            </w:r>
          </w:p>
        </w:tc>
        <w:tc>
          <w:tcPr>
            <w:tcW w:w="1440" w:type="dxa"/>
            <w:vAlign w:val="center"/>
          </w:tcPr>
          <w:p w14:paraId="5E7300B6" w14:textId="03AF02F7"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6D6580">
              <w:rPr>
                <w:rFonts w:ascii="Arial" w:hAnsi="Arial" w:cs="Arial"/>
                <w:color w:val="000000" w:themeColor="text1"/>
                <w:sz w:val="18"/>
                <w:szCs w:val="18"/>
              </w:rPr>
              <w:t>6</w:t>
            </w:r>
            <w:r w:rsidR="00E144A8">
              <w:rPr>
                <w:rFonts w:ascii="Arial" w:hAnsi="Arial" w:cs="Arial"/>
                <w:color w:val="000000" w:themeColor="text1"/>
                <w:sz w:val="18"/>
                <w:szCs w:val="18"/>
              </w:rPr>
              <w:t>.6</w:t>
            </w:r>
            <w:r w:rsidRPr="00A27C2F">
              <w:rPr>
                <w:rFonts w:ascii="Arial" w:hAnsi="Arial" w:cs="Arial"/>
                <w:color w:val="000000" w:themeColor="text1"/>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8" w:name="_Hlk121583547"/>
      <w:bookmarkStart w:id="9"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10" w:name="_Hlk118920915"/>
      <w:bookmarkStart w:id="11" w:name="_Hlk127026660"/>
      <w:bookmarkEnd w:id="8"/>
      <w:bookmarkEnd w:id="9"/>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10"/>
    <w:bookmarkEnd w:id="11"/>
    <w:p w14:paraId="3447EB97" w14:textId="381CBD29" w:rsidR="006D6580" w:rsidRPr="003830CA" w:rsidRDefault="009D4BDE" w:rsidP="006D6580">
      <w:pPr>
        <w:pStyle w:val="NoSpacing"/>
        <w:numPr>
          <w:ilvl w:val="0"/>
          <w:numId w:val="8"/>
        </w:numPr>
        <w:rPr>
          <w:rFonts w:ascii="Arial" w:hAnsi="Arial" w:cs="Arial"/>
          <w:sz w:val="20"/>
          <w:szCs w:val="20"/>
        </w:rPr>
      </w:pPr>
      <w:r>
        <w:rPr>
          <w:rFonts w:ascii="Arial" w:hAnsi="Arial" w:cs="Arial"/>
          <w:sz w:val="20"/>
          <w:szCs w:val="20"/>
        </w:rPr>
        <w:t>The February, March and April reports are all affected by the very different timing of Easter in 2024 and 2023</w:t>
      </w:r>
      <w:r w:rsidR="006D6580" w:rsidRPr="003830CA">
        <w:rPr>
          <w:rFonts w:ascii="Arial" w:hAnsi="Arial" w:cs="Arial"/>
          <w:sz w:val="20"/>
          <w:szCs w:val="20"/>
        </w:rPr>
        <w:t>.</w:t>
      </w:r>
      <w:r>
        <w:rPr>
          <w:rFonts w:ascii="Arial" w:hAnsi="Arial" w:cs="Arial"/>
          <w:sz w:val="20"/>
          <w:szCs w:val="20"/>
        </w:rPr>
        <w:t xml:space="preserve"> While February was negatively impacted, the March weeks are somewhat more comparable with the exception of the fourth week, which was Eater in 2024. Come April, seafood sales will benefit from an additional three weeks of holiday-related sales going up against three everyday weeks in 2024. This will likely result into a strong growth month, though prices and availability will have a big impact on the results. </w:t>
      </w:r>
      <w:r w:rsidR="006D6580" w:rsidRPr="003830CA">
        <w:rPr>
          <w:rFonts w:ascii="Arial" w:hAnsi="Arial" w:cs="Arial"/>
          <w:sz w:val="20"/>
          <w:szCs w:val="20"/>
        </w:rPr>
        <w:t xml:space="preserve"> </w:t>
      </w:r>
    </w:p>
    <w:p w14:paraId="30ED23EB" w14:textId="5CF5155B" w:rsidR="00E13FD9" w:rsidRPr="003830CA" w:rsidRDefault="00E13FD9" w:rsidP="00E13FD9">
      <w:pPr>
        <w:pStyle w:val="NoSpacing"/>
        <w:numPr>
          <w:ilvl w:val="0"/>
          <w:numId w:val="8"/>
        </w:numPr>
        <w:rPr>
          <w:rFonts w:ascii="Arial" w:hAnsi="Arial" w:cs="Arial"/>
          <w:sz w:val="20"/>
          <w:szCs w:val="20"/>
        </w:rPr>
      </w:pPr>
      <w:r>
        <w:rPr>
          <w:rFonts w:ascii="Arial" w:hAnsi="Arial" w:cs="Arial"/>
          <w:sz w:val="20"/>
          <w:szCs w:val="20"/>
        </w:rPr>
        <w:t>The ongoing news about t</w:t>
      </w:r>
      <w:r w:rsidRPr="003830CA">
        <w:rPr>
          <w:rFonts w:ascii="Arial" w:hAnsi="Arial" w:cs="Arial"/>
          <w:sz w:val="20"/>
          <w:szCs w:val="20"/>
        </w:rPr>
        <w:t xml:space="preserve">ariffs </w:t>
      </w:r>
      <w:r>
        <w:rPr>
          <w:rFonts w:ascii="Arial" w:hAnsi="Arial" w:cs="Arial"/>
          <w:sz w:val="20"/>
          <w:szCs w:val="20"/>
        </w:rPr>
        <w:t xml:space="preserve">has </w:t>
      </w:r>
      <w:r w:rsidRPr="003830CA">
        <w:rPr>
          <w:rFonts w:ascii="Arial" w:hAnsi="Arial" w:cs="Arial"/>
          <w:sz w:val="20"/>
          <w:szCs w:val="20"/>
        </w:rPr>
        <w:t>already result</w:t>
      </w:r>
      <w:r>
        <w:rPr>
          <w:rFonts w:ascii="Arial" w:hAnsi="Arial" w:cs="Arial"/>
          <w:sz w:val="20"/>
          <w:szCs w:val="20"/>
        </w:rPr>
        <w:t>ed</w:t>
      </w:r>
      <w:r w:rsidRPr="003830CA">
        <w:rPr>
          <w:rFonts w:ascii="Arial" w:hAnsi="Arial" w:cs="Arial"/>
          <w:sz w:val="20"/>
          <w:szCs w:val="20"/>
        </w:rPr>
        <w:t xml:space="preserve"> in 30% of shoppers stockpiling some items out of concerns for rising prices or out-of-stocks. This includes pantry staples such as pasta, rice</w:t>
      </w:r>
      <w:r>
        <w:rPr>
          <w:rFonts w:ascii="Arial" w:hAnsi="Arial" w:cs="Arial"/>
          <w:sz w:val="20"/>
          <w:szCs w:val="20"/>
        </w:rPr>
        <w:t xml:space="preserve"> and</w:t>
      </w:r>
      <w:r w:rsidRPr="003830CA">
        <w:rPr>
          <w:rFonts w:ascii="Arial" w:hAnsi="Arial" w:cs="Arial"/>
          <w:sz w:val="20"/>
          <w:szCs w:val="20"/>
        </w:rPr>
        <w:t xml:space="preserve"> cereal (62%), canned foods (55%), bottled/canned beverages (47%), coffee (35%) and items such as home care and cleaning products. </w:t>
      </w:r>
    </w:p>
    <w:p w14:paraId="1487B27C" w14:textId="77777777" w:rsidR="00E13FD9" w:rsidRPr="00CB5A45" w:rsidRDefault="00E13FD9" w:rsidP="00E13FD9">
      <w:pPr>
        <w:pStyle w:val="NoSpacing"/>
        <w:numPr>
          <w:ilvl w:val="0"/>
          <w:numId w:val="8"/>
        </w:numPr>
        <w:rPr>
          <w:rFonts w:ascii="Arial" w:hAnsi="Arial" w:cs="Arial"/>
          <w:sz w:val="20"/>
          <w:szCs w:val="20"/>
        </w:rPr>
        <w:sectPr w:rsidR="00E13FD9" w:rsidRPr="00CB5A45" w:rsidSect="00E13FD9">
          <w:headerReference w:type="default" r:id="rId10"/>
          <w:footerReference w:type="default" r:id="rId11"/>
          <w:type w:val="continuous"/>
          <w:pgSz w:w="12240" w:h="15840"/>
          <w:pgMar w:top="1620" w:right="810" w:bottom="851" w:left="900" w:header="708" w:footer="279" w:gutter="0"/>
          <w:cols w:space="708"/>
          <w:docGrid w:linePitch="360"/>
        </w:sectPr>
      </w:pPr>
      <w:r w:rsidRPr="003830CA">
        <w:rPr>
          <w:rFonts w:ascii="Arial" w:hAnsi="Arial" w:cs="Arial"/>
          <w:sz w:val="20"/>
          <w:szCs w:val="20"/>
        </w:rPr>
        <w:t>While the meal landscape remains home-centric, 78% of consumers did consume at least one restaurant meal in March 2025. Delivery and takeout make up an ever</w:t>
      </w:r>
      <w:r>
        <w:rPr>
          <w:rFonts w:ascii="Arial" w:hAnsi="Arial" w:cs="Arial"/>
          <w:sz w:val="20"/>
          <w:szCs w:val="20"/>
        </w:rPr>
        <w:t>-</w:t>
      </w:r>
      <w:r w:rsidRPr="003830CA">
        <w:rPr>
          <w:rFonts w:ascii="Arial" w:hAnsi="Arial" w:cs="Arial"/>
          <w:sz w:val="20"/>
          <w:szCs w:val="20"/>
        </w:rPr>
        <w:t xml:space="preserve">growing share of restaurant sales. Gen Z and Millennials are the driving forces behind delivery and takeout. For instance, while 58% of Gen Z have gotten restaurant takeout in the past month, only 34% of Boomers have done so. Likewise, 35% of Gen Z have gotten delivery versus just 9% of Boomers. </w:t>
      </w:r>
      <w:bookmarkStart w:id="14" w:name="_Hlk182727707"/>
      <w:r>
        <w:rPr>
          <w:rFonts w:ascii="Arial" w:hAnsi="Arial" w:cs="Arial"/>
          <w:sz w:val="20"/>
          <w:szCs w:val="20"/>
        </w:rPr>
        <w:t xml:space="preserve"> </w:t>
      </w:r>
    </w:p>
    <w:bookmarkEnd w:id="14"/>
    <w:p w14:paraId="5F504273" w14:textId="77777777" w:rsidR="00BA6703" w:rsidRDefault="00BA6703" w:rsidP="00BA6703">
      <w:pPr>
        <w:pStyle w:val="NoSpacing"/>
        <w:rPr>
          <w:rFonts w:ascii="Arial" w:hAnsi="Arial" w:cs="Arial"/>
          <w:sz w:val="20"/>
          <w:szCs w:val="20"/>
        </w:rPr>
      </w:pPr>
    </w:p>
    <w:p w14:paraId="49B73CD5" w14:textId="77777777" w:rsidR="00BA6703" w:rsidRDefault="00BA6703" w:rsidP="00BA6703">
      <w:pPr>
        <w:pStyle w:val="NoSpacing"/>
        <w:rPr>
          <w:rFonts w:ascii="Arial" w:hAnsi="Arial" w:cs="Arial"/>
          <w:b/>
          <w:sz w:val="20"/>
          <w:szCs w:val="20"/>
        </w:rPr>
      </w:pPr>
    </w:p>
    <w:p w14:paraId="15A58AC7" w14:textId="77777777" w:rsidR="00BA6703" w:rsidRDefault="00BA6703" w:rsidP="00BA6703">
      <w:pPr>
        <w:pStyle w:val="NoSpacing"/>
        <w:rPr>
          <w:rFonts w:ascii="Arial" w:hAnsi="Arial" w:cs="Arial"/>
          <w:b/>
          <w:sz w:val="20"/>
          <w:szCs w:val="20"/>
        </w:rPr>
        <w:sectPr w:rsidR="00BA6703" w:rsidSect="00EE3028">
          <w:headerReference w:type="default" r:id="rId12"/>
          <w:footerReference w:type="default" r:id="rId13"/>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6036D4C4" w14:textId="77777777" w:rsidR="00BA6703" w:rsidRDefault="00BA6703" w:rsidP="00BA6703">
      <w:pPr>
        <w:pStyle w:val="NoSpacing"/>
        <w:rPr>
          <w:rFonts w:ascii="Arial" w:hAnsi="Arial" w:cs="Arial"/>
          <w:sz w:val="20"/>
          <w:szCs w:val="20"/>
        </w:rPr>
      </w:pPr>
      <w:r>
        <w:rPr>
          <w:rFonts w:ascii="Arial" w:hAnsi="Arial" w:cs="Arial"/>
          <w:sz w:val="20"/>
          <w:szCs w:val="20"/>
        </w:rPr>
        <w:t>Q4 2024: 13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328D51F3" w14:textId="78BC885B" w:rsidR="00BA6703" w:rsidRDefault="009D4BDE" w:rsidP="00BA6703">
      <w:pPr>
        <w:pStyle w:val="NoSpacing"/>
      </w:pPr>
      <w:r>
        <w:rPr>
          <w:rFonts w:ascii="Arial" w:hAnsi="Arial" w:cs="Arial"/>
          <w:sz w:val="20"/>
          <w:szCs w:val="20"/>
        </w:rPr>
        <w:t>March</w:t>
      </w:r>
      <w:r w:rsidR="005C5842">
        <w:rPr>
          <w:rFonts w:ascii="Arial" w:hAnsi="Arial" w:cs="Arial"/>
          <w:sz w:val="20"/>
          <w:szCs w:val="20"/>
        </w:rPr>
        <w:t xml:space="preserve"> </w:t>
      </w:r>
      <w:r w:rsidR="00105762">
        <w:rPr>
          <w:rFonts w:ascii="Arial" w:hAnsi="Arial" w:cs="Arial"/>
          <w:sz w:val="20"/>
          <w:szCs w:val="20"/>
        </w:rPr>
        <w:t>2025</w:t>
      </w:r>
      <w:r w:rsidR="00B43838">
        <w:rPr>
          <w:rFonts w:ascii="Arial" w:hAnsi="Arial" w:cs="Arial"/>
          <w:sz w:val="20"/>
          <w:szCs w:val="20"/>
        </w:rPr>
        <w:t xml:space="preserve">: </w:t>
      </w:r>
      <w:r w:rsidR="005C5842">
        <w:rPr>
          <w:rFonts w:ascii="Arial" w:hAnsi="Arial" w:cs="Arial"/>
          <w:sz w:val="20"/>
          <w:szCs w:val="20"/>
        </w:rPr>
        <w:t>4</w:t>
      </w:r>
      <w:r w:rsidR="00046AD4">
        <w:rPr>
          <w:rFonts w:ascii="Arial" w:hAnsi="Arial" w:cs="Arial"/>
          <w:sz w:val="20"/>
          <w:szCs w:val="20"/>
        </w:rPr>
        <w:t xml:space="preserve"> weeks ending </w:t>
      </w:r>
      <w:r w:rsidR="005C5842">
        <w:rPr>
          <w:rFonts w:ascii="Arial" w:hAnsi="Arial" w:cs="Arial"/>
          <w:sz w:val="20"/>
          <w:szCs w:val="20"/>
        </w:rPr>
        <w:t>3</w:t>
      </w:r>
      <w:r w:rsidR="00B43838">
        <w:rPr>
          <w:rFonts w:ascii="Arial" w:hAnsi="Arial" w:cs="Arial"/>
          <w:sz w:val="20"/>
          <w:szCs w:val="20"/>
        </w:rPr>
        <w:t>/</w:t>
      </w:r>
      <w:r>
        <w:rPr>
          <w:rFonts w:ascii="Arial" w:hAnsi="Arial" w:cs="Arial"/>
          <w:sz w:val="20"/>
          <w:szCs w:val="20"/>
        </w:rPr>
        <w:t>30</w:t>
      </w:r>
      <w:r w:rsidR="00046AD4">
        <w:rPr>
          <w:rFonts w:ascii="Arial" w:hAnsi="Arial" w:cs="Arial"/>
          <w:sz w:val="20"/>
          <w:szCs w:val="20"/>
        </w:rPr>
        <w:t>/2025</w:t>
      </w:r>
    </w:p>
    <w:p w14:paraId="728D9C95" w14:textId="77777777" w:rsidR="00BA6703" w:rsidRPr="00BD20BD" w:rsidRDefault="00BA6703" w:rsidP="00BA6703">
      <w:pPr>
        <w:pStyle w:val="NoSpacing"/>
        <w:rPr>
          <w:rFonts w:ascii="Arial" w:hAnsi="Arial" w:cs="Arial"/>
          <w:sz w:val="20"/>
          <w:szCs w:val="20"/>
        </w:rPr>
      </w:pPr>
    </w:p>
    <w:p w14:paraId="4488A88F" w14:textId="77777777" w:rsidR="00BA6703" w:rsidRDefault="00BA6703" w:rsidP="00BA6703">
      <w:pPr>
        <w:pStyle w:val="NoSpacing"/>
        <w:rPr>
          <w:rFonts w:ascii="Arial" w:hAnsi="Arial" w:cs="Arial"/>
          <w:sz w:val="20"/>
          <w:szCs w:val="20"/>
        </w:rPr>
      </w:pPr>
    </w:p>
    <w:p w14:paraId="6EA3DF18" w14:textId="77777777" w:rsidR="00127477" w:rsidRPr="005A1DA4" w:rsidRDefault="00127477" w:rsidP="00BA6703">
      <w:pPr>
        <w:pStyle w:val="NoSpacing"/>
        <w:rPr>
          <w:rFonts w:ascii="Arial" w:hAnsi="Arial" w:cs="Arial"/>
          <w:sz w:val="20"/>
          <w:szCs w:val="20"/>
        </w:rPr>
      </w:pPr>
    </w:p>
    <w:sectPr w:rsidR="00127477" w:rsidRPr="005A1DA4" w:rsidSect="00020EF9">
      <w:headerReference w:type="default" r:id="rId14"/>
      <w:footerReference w:type="default" r:id="rId15"/>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F2DE" w14:textId="77777777" w:rsidR="00B830D3" w:rsidRDefault="00B830D3" w:rsidP="005C6A11">
      <w:pPr>
        <w:spacing w:after="0" w:line="240" w:lineRule="auto"/>
      </w:pPr>
      <w:r>
        <w:separator/>
      </w:r>
    </w:p>
  </w:endnote>
  <w:endnote w:type="continuationSeparator" w:id="0">
    <w:p w14:paraId="6E2639F1" w14:textId="77777777" w:rsidR="00B830D3" w:rsidRDefault="00B830D3"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E4BA" w14:textId="73F42FA9" w:rsidR="008375E1" w:rsidRPr="001C4C48" w:rsidRDefault="008375E1" w:rsidP="008375E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702272" behindDoc="0" locked="0" layoutInCell="1" allowOverlap="1" wp14:anchorId="0EA08DA3" wp14:editId="0A5232D2">
              <wp:simplePos x="0" y="0"/>
              <wp:positionH relativeFrom="page">
                <wp:posOffset>457200</wp:posOffset>
              </wp:positionH>
              <wp:positionV relativeFrom="paragraph">
                <wp:posOffset>148590</wp:posOffset>
              </wp:positionV>
              <wp:extent cx="6858000" cy="20320"/>
              <wp:effectExtent l="0" t="0" r="0" b="17780"/>
              <wp:wrapNone/>
              <wp:docPr id="2092221447" name="Straight Connector 209222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9AD4C" id="Straight Connector 2092221447"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1B59AE6" w14:textId="79D5635F" w:rsidR="008375E1" w:rsidRPr="00030F05" w:rsidRDefault="008375E1" w:rsidP="008375E1">
    <w:pPr>
      <w:pStyle w:val="NoSpacing"/>
      <w:rPr>
        <w:sz w:val="16"/>
      </w:rPr>
    </w:pPr>
    <w:r>
      <w:rPr>
        <w:noProof/>
        <w:lang w:val="nl-NL" w:eastAsia="nl-NL"/>
      </w:rPr>
      <w:drawing>
        <wp:anchor distT="0" distB="0" distL="114300" distR="114300" simplePos="0" relativeHeight="251703296" behindDoc="0" locked="0" layoutInCell="1" allowOverlap="1" wp14:anchorId="342C4EB6" wp14:editId="506A4832">
          <wp:simplePos x="0" y="0"/>
          <wp:positionH relativeFrom="page">
            <wp:posOffset>6367780</wp:posOffset>
          </wp:positionH>
          <wp:positionV relativeFrom="page">
            <wp:posOffset>9546894</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1812013119"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705344" behindDoc="0" locked="0" layoutInCell="1" allowOverlap="1" wp14:anchorId="4AE39381" wp14:editId="179E9B8D">
              <wp:simplePos x="0" y="0"/>
              <wp:positionH relativeFrom="margin">
                <wp:posOffset>3224861</wp:posOffset>
              </wp:positionH>
              <wp:positionV relativeFrom="paragraph">
                <wp:posOffset>127635</wp:posOffset>
              </wp:positionV>
              <wp:extent cx="1263650" cy="234950"/>
              <wp:effectExtent l="0" t="0" r="0" b="0"/>
              <wp:wrapNone/>
              <wp:docPr id="1050231292"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6B491D5D" w14:textId="77777777" w:rsidR="008375E1" w:rsidRPr="00D43137" w:rsidRDefault="008375E1" w:rsidP="008375E1">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E39381"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6B491D5D" w14:textId="77777777" w:rsidR="008375E1" w:rsidRPr="00D43137" w:rsidRDefault="008375E1" w:rsidP="008375E1">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704320" behindDoc="0" locked="0" layoutInCell="1" allowOverlap="1" wp14:anchorId="3AC221FA" wp14:editId="449E3EAC">
          <wp:simplePos x="0" y="0"/>
          <wp:positionH relativeFrom="column">
            <wp:posOffset>4793753</wp:posOffset>
          </wp:positionH>
          <wp:positionV relativeFrom="paragraph">
            <wp:posOffset>53727</wp:posOffset>
          </wp:positionV>
          <wp:extent cx="901700" cy="340360"/>
          <wp:effectExtent l="0" t="0" r="0" b="2540"/>
          <wp:wrapNone/>
          <wp:docPr id="1186548311"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1E4DC8BB" w14:textId="6F7A3DB2" w:rsidR="00E13FD9" w:rsidRPr="008375E1" w:rsidRDefault="008375E1" w:rsidP="008375E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r w:rsidR="00E13FD9">
      <w:rPr>
        <w:b/>
        <w:bCs/>
        <w:noProof/>
        <w:lang w:val="nl-NL" w:eastAsia="nl-NL"/>
      </w:rPr>
      <mc:AlternateContent>
        <mc:Choice Requires="wps">
          <w:drawing>
            <wp:anchor distT="0" distB="0" distL="114300" distR="114300" simplePos="0" relativeHeight="251689984" behindDoc="0" locked="0" layoutInCell="1" allowOverlap="1" wp14:anchorId="6FE6EBC4" wp14:editId="5C5CA6AB">
              <wp:simplePos x="0" y="0"/>
              <wp:positionH relativeFrom="margin">
                <wp:posOffset>6251855</wp:posOffset>
              </wp:positionH>
              <wp:positionV relativeFrom="paragraph">
                <wp:posOffset>154991</wp:posOffset>
              </wp:positionV>
              <wp:extent cx="1263650" cy="234950"/>
              <wp:effectExtent l="0" t="0" r="0" b="0"/>
              <wp:wrapNone/>
              <wp:docPr id="80591879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34D6F6CB" w14:textId="77777777" w:rsidR="00E13FD9" w:rsidRPr="008614E7" w:rsidRDefault="00E13FD9" w:rsidP="008614E7">
                          <w:pPr>
                            <w:pStyle w:val="NoSpacing"/>
                            <w:rPr>
                              <w:color w:val="FFFFFF" w:themeColor="background1"/>
                              <w:sz w:val="18"/>
                              <w:szCs w:val="18"/>
                            </w:rPr>
                          </w:pPr>
                          <w:r w:rsidRPr="008614E7">
                            <w:rPr>
                              <w:color w:val="FFFFFF" w:themeColor="background1"/>
                              <w:sz w:val="18"/>
                              <w:szCs w:val="18"/>
                            </w:rPr>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6EBC4" id="_x0000_s1033" type="#_x0000_t202" style="position:absolute;margin-left:492.25pt;margin-top:12.2pt;width:99.5pt;height:18.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ubGQIAADMEAAAOAAAAZHJzL2Uyb0RvYy54bWysU01v2zAMvQ/YfxB0X5w4adY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" filled="f" stroked="f" strokeweight=".5pt">
              <v:textbox>
                <w:txbxContent>
                  <w:p w14:paraId="34D6F6CB" w14:textId="77777777" w:rsidR="00E13FD9" w:rsidRPr="008614E7" w:rsidRDefault="00E13FD9" w:rsidP="008614E7">
                    <w:pPr>
                      <w:pStyle w:val="NoSpacing"/>
                      <w:rPr>
                        <w:color w:val="FFFFFF" w:themeColor="background1"/>
                        <w:sz w:val="18"/>
                        <w:szCs w:val="18"/>
                      </w:rPr>
                    </w:pPr>
                    <w:r w:rsidRPr="008614E7">
                      <w:rPr>
                        <w:color w:val="FFFFFF" w:themeColor="background1"/>
                        <w:sz w:val="18"/>
                        <w:szCs w:val="18"/>
                      </w:rPr>
                      <w:t>FOR PUBLIC USE</w:t>
                    </w:r>
                  </w:p>
                </w:txbxContent>
              </v:textbox>
              <w10:wrap anchorx="margin"/>
            </v:shape>
          </w:pict>
        </mc:Fallback>
      </mc:AlternateContent>
    </w:r>
    <w:r w:rsidR="00E13FD9" w:rsidRPr="00B87C2C">
      <w:rPr>
        <w:rFonts w:ascii="Arial" w:hAnsi="Arial" w:cs="Arial"/>
        <w:sz w:val="18"/>
        <w:szCs w:val="18"/>
      </w:rPr>
      <w:t xml:space="preserve">  </w:t>
    </w:r>
    <w:bookmarkStart w:id="12" w:name="_Hlk166244871"/>
    <w:bookmarkStart w:id="13" w:name="_Hlk166244872"/>
  </w:p>
  <w:bookmarkEnd w:id="12"/>
  <w:bookmarkEnd w:i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4D6C5F" w:rsidRPr="00030F05" w:rsidRDefault="00EE3028"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C5F">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4D6C5F" w:rsidRPr="00D43137" w:rsidRDefault="004D6C5F" w:rsidP="00D43137">
                    <w:pPr>
                      <w:pStyle w:val="NoSpacing"/>
                    </w:pPr>
                    <w:r w:rsidRPr="00D43137">
                      <w:t>FOR PUBLIC USE</w:t>
                    </w:r>
                  </w:p>
                </w:txbxContent>
              </v:textbox>
              <w10:wrap anchorx="margin"/>
            </v:shape>
          </w:pict>
        </mc:Fallback>
      </mc:AlternateContent>
    </w:r>
    <w:r w:rsidR="004D6C5F">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4D6C5F">
      <w:rPr>
        <w:sz w:val="16"/>
      </w:rPr>
      <w:t xml:space="preserve">Questions or looking for </w:t>
    </w:r>
    <w:r w:rsidR="004D6C5F" w:rsidRPr="00030F05">
      <w:rPr>
        <w:sz w:val="16"/>
      </w:rPr>
      <w:t>more information?</w:t>
    </w:r>
    <w:r w:rsidR="004D6C5F" w:rsidRPr="00030F05">
      <w:rPr>
        <w:sz w:val="16"/>
      </w:rPr>
      <w:br/>
      <w:t>www.</w:t>
    </w:r>
    <w:r w:rsidR="004D6C5F">
      <w:rPr>
        <w:sz w:val="16"/>
      </w:rPr>
      <w:t>circana</w:t>
    </w:r>
    <w:r w:rsidR="004D6C5F" w:rsidRPr="00030F05">
      <w:rPr>
        <w:sz w:val="16"/>
      </w:rPr>
      <w:t>.com</w:t>
    </w:r>
    <w:r w:rsidR="004D6C5F">
      <w:rPr>
        <w:sz w:val="16"/>
      </w:rPr>
      <w:tab/>
    </w:r>
    <w:r w:rsidR="004D6C5F">
      <w:rPr>
        <w:sz w:val="16"/>
      </w:rPr>
      <w:tab/>
    </w:r>
    <w:r w:rsidR="004D6C5F">
      <w:rPr>
        <w:sz w:val="16"/>
      </w:rPr>
      <w:tab/>
      <w:t>210 Analytics</w:t>
    </w:r>
  </w:p>
  <w:p w14:paraId="2869DE13" w14:textId="7F6C9337" w:rsidR="004D6C5F" w:rsidRDefault="00EE3028" w:rsidP="005C6A11">
    <w:pPr>
      <w:pStyle w:val="NoSpacing"/>
    </w:pPr>
    <w:hyperlink r:id="rId3" w:history="1">
      <w:r w:rsidRPr="00EE3028">
        <w:rPr>
          <w:rStyle w:val="Hyperlink"/>
          <w:sz w:val="16"/>
        </w:rPr>
        <w:t>Or reach us here</w:t>
      </w:r>
    </w:hyperlink>
    <w:r>
      <w:rPr>
        <w:sz w:val="16"/>
      </w:rPr>
      <w:tab/>
    </w:r>
    <w:r w:rsidR="004D6C5F">
      <w:rPr>
        <w:sz w:val="16"/>
      </w:rPr>
      <w:tab/>
    </w:r>
    <w:r w:rsidR="004D6C5F">
      <w:rPr>
        <w:sz w:val="16"/>
      </w:rPr>
      <w:tab/>
      <w:t>aroerink@210analytics.com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4D6C5F" w:rsidRPr="00030F05" w:rsidRDefault="004D6C5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4D6C5F" w:rsidRPr="00D43137" w:rsidRDefault="004D6C5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4D6C5F" w:rsidRDefault="004D6C5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615F" w14:textId="77777777" w:rsidR="00B830D3" w:rsidRDefault="00B830D3" w:rsidP="005C6A11">
      <w:pPr>
        <w:spacing w:after="0" w:line="240" w:lineRule="auto"/>
      </w:pPr>
      <w:r>
        <w:separator/>
      </w:r>
    </w:p>
  </w:footnote>
  <w:footnote w:type="continuationSeparator" w:id="0">
    <w:p w14:paraId="2F4D8703" w14:textId="77777777" w:rsidR="00B830D3" w:rsidRDefault="00B830D3"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79DB" w14:textId="51553B30" w:rsidR="00E13FD9" w:rsidRPr="0088460E" w:rsidRDefault="008375E1" w:rsidP="0088460E">
    <w:pPr>
      <w:pStyle w:val="Header"/>
    </w:pPr>
    <w:r w:rsidRPr="00C24355">
      <w:rPr>
        <w:noProof/>
        <w:lang w:val="nl-NL" w:eastAsia="nl-NL"/>
      </w:rPr>
      <w:drawing>
        <wp:anchor distT="0" distB="0" distL="114300" distR="114300" simplePos="0" relativeHeight="251698176" behindDoc="0" locked="0" layoutInCell="1" allowOverlap="1" wp14:anchorId="3164589F" wp14:editId="06F37720">
          <wp:simplePos x="0" y="0"/>
          <wp:positionH relativeFrom="column">
            <wp:posOffset>518050</wp:posOffset>
          </wp:positionH>
          <wp:positionV relativeFrom="paragraph">
            <wp:posOffset>-202869</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182818192"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Pr>
        <w:noProof/>
        <w:lang w:val="nl-NL" w:eastAsia="nl-NL"/>
      </w:rPr>
      <mc:AlternateContent>
        <mc:Choice Requires="wps">
          <w:drawing>
            <wp:anchor distT="0" distB="0" distL="114300" distR="114300" simplePos="0" relativeHeight="251696128" behindDoc="0" locked="0" layoutInCell="1" allowOverlap="1" wp14:anchorId="24C13AA8" wp14:editId="4E1D44AB">
              <wp:simplePos x="0" y="0"/>
              <wp:positionH relativeFrom="column">
                <wp:posOffset>454025</wp:posOffset>
              </wp:positionH>
              <wp:positionV relativeFrom="paragraph">
                <wp:posOffset>-425119</wp:posOffset>
              </wp:positionV>
              <wp:extent cx="1219200" cy="295275"/>
              <wp:effectExtent l="0" t="0" r="0" b="0"/>
              <wp:wrapNone/>
              <wp:docPr id="793804877"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02726432" w14:textId="77777777" w:rsidR="008375E1" w:rsidRPr="00C24355" w:rsidRDefault="008375E1" w:rsidP="008375E1">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C13AA8" id="_x0000_t202" coordsize="21600,21600" o:spt="202" path="m,l,21600r21600,l21600,xe">
              <v:stroke joinstyle="miter"/>
              <v:path gradientshapeok="t" o:connecttype="rect"/>
            </v:shapetype>
            <v:shape id="Text Box 5" o:spid="_x0000_s1029" type="#_x0000_t202" style="position:absolute;margin-left:35.75pt;margin-top:-33.45pt;width:96pt;height:23.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" filled="f" stroked="f" strokeweight=".5pt">
              <v:textbox>
                <w:txbxContent>
                  <w:p w14:paraId="02726432" w14:textId="77777777" w:rsidR="008375E1" w:rsidRPr="00C24355" w:rsidRDefault="008375E1" w:rsidP="008375E1">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700224" behindDoc="0" locked="0" layoutInCell="1" allowOverlap="1" wp14:anchorId="6A6F4A4F" wp14:editId="2DE18306">
              <wp:simplePos x="0" y="0"/>
              <wp:positionH relativeFrom="page">
                <wp:posOffset>302122</wp:posOffset>
              </wp:positionH>
              <wp:positionV relativeFrom="paragraph">
                <wp:posOffset>-378018</wp:posOffset>
              </wp:positionV>
              <wp:extent cx="418496" cy="190017"/>
              <wp:effectExtent l="0" t="0" r="0" b="0"/>
              <wp:wrapNone/>
              <wp:docPr id="1928123845"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37807C1D" w14:textId="77777777" w:rsidR="008375E1" w:rsidRDefault="008375E1" w:rsidP="008375E1">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6A6F4A4F" id="TextBox 13" o:spid="_x0000_s1030" type="#_x0000_t202" style="position:absolute;margin-left:23.8pt;margin-top:-29.75pt;width:32.95pt;height:14.95pt;z-index:2517002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" filled="f" stroked="f">
              <v:textbox inset="0,0,0,0">
                <w:txbxContent>
                  <w:p w14:paraId="37807C1D" w14:textId="77777777" w:rsidR="008375E1" w:rsidRDefault="008375E1" w:rsidP="008375E1">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r>
      <w:rPr>
        <w:noProof/>
        <w:lang w:val="nl-NL" w:eastAsia="nl-NL"/>
      </w:rPr>
      <mc:AlternateContent>
        <mc:Choice Requires="wps">
          <w:drawing>
            <wp:anchor distT="0" distB="0" distL="114300" distR="114300" simplePos="0" relativeHeight="251694080" behindDoc="0" locked="0" layoutInCell="1" allowOverlap="1" wp14:anchorId="4C7BF97B" wp14:editId="54178AAF">
              <wp:simplePos x="0" y="0"/>
              <wp:positionH relativeFrom="margin">
                <wp:posOffset>3031048</wp:posOffset>
              </wp:positionH>
              <wp:positionV relativeFrom="paragraph">
                <wp:posOffset>-211041</wp:posOffset>
              </wp:positionV>
              <wp:extent cx="3733800" cy="295275"/>
              <wp:effectExtent l="0" t="0" r="0" b="0"/>
              <wp:wrapNone/>
              <wp:docPr id="1794460038"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15D55FBA" w14:textId="77777777" w:rsidR="008375E1" w:rsidRPr="00C24355" w:rsidRDefault="008375E1" w:rsidP="008375E1">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BF97B" id="_x0000_s1031" type="#_x0000_t202" style="position:absolute;margin-left:238.65pt;margin-top:-16.6pt;width:294pt;height:23.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yJGg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" filled="f" stroked="f" strokeweight=".5pt">
              <v:textbox>
                <w:txbxContent>
                  <w:p w14:paraId="15D55FBA" w14:textId="77777777" w:rsidR="008375E1" w:rsidRPr="00C24355" w:rsidRDefault="008375E1" w:rsidP="008375E1">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mc:AlternateContent>
        <mc:Choice Requires="wps">
          <w:drawing>
            <wp:anchor distT="0" distB="0" distL="114300" distR="114300" simplePos="0" relativeHeight="251692032" behindDoc="0" locked="0" layoutInCell="1" allowOverlap="1" wp14:anchorId="03710DAF" wp14:editId="289AAC18">
              <wp:simplePos x="0" y="0"/>
              <wp:positionH relativeFrom="margin">
                <wp:posOffset>-558496</wp:posOffset>
              </wp:positionH>
              <wp:positionV relativeFrom="paragraph">
                <wp:posOffset>-453390</wp:posOffset>
              </wp:positionV>
              <wp:extent cx="7757160" cy="796290"/>
              <wp:effectExtent l="0" t="0" r="15240" b="22860"/>
              <wp:wrapNone/>
              <wp:docPr id="296677263"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0C9646A" id="Rectangle 3" o:spid="_x0000_s1026" style="position:absolute;margin-left:-44pt;margin-top:-35.7pt;width:610.8pt;height:6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" fillcolor="#19233e" strokecolor="#19233e" strokeweight="2pt">
              <w10:wrap anchorx="margin"/>
            </v:rect>
          </w:pict>
        </mc:Fallback>
      </mc:AlternateContent>
    </w:r>
  </w:p>
  <w:p w14:paraId="344883C7" w14:textId="77777777" w:rsidR="00E13FD9" w:rsidRDefault="00E1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4D6C5F" w:rsidRDefault="004D6C5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" filled="f" stroked="f" strokeweight=".5pt">
              <v:textbo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4D6C5F" w:rsidRDefault="004D6C5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671768">
    <w:abstractNumId w:val="0"/>
  </w:num>
  <w:num w:numId="2" w16cid:durableId="91560654">
    <w:abstractNumId w:val="2"/>
  </w:num>
  <w:num w:numId="3" w16cid:durableId="778723652">
    <w:abstractNumId w:val="5"/>
  </w:num>
  <w:num w:numId="4" w16cid:durableId="1896350508">
    <w:abstractNumId w:val="3"/>
  </w:num>
  <w:num w:numId="5" w16cid:durableId="253368832">
    <w:abstractNumId w:val="7"/>
  </w:num>
  <w:num w:numId="6" w16cid:durableId="1252083045">
    <w:abstractNumId w:val="4"/>
  </w:num>
  <w:num w:numId="7" w16cid:durableId="1546257196">
    <w:abstractNumId w:val="8"/>
  </w:num>
  <w:num w:numId="8" w16cid:durableId="925261030">
    <w:abstractNumId w:val="6"/>
  </w:num>
  <w:num w:numId="9" w16cid:durableId="7174409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ED0"/>
    <w:rsid w:val="00151A49"/>
    <w:rsid w:val="00151C32"/>
    <w:rsid w:val="00152886"/>
    <w:rsid w:val="00153180"/>
    <w:rsid w:val="00153C00"/>
    <w:rsid w:val="00153FDF"/>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A6C"/>
    <w:rsid w:val="00265E0B"/>
    <w:rsid w:val="00270024"/>
    <w:rsid w:val="00271410"/>
    <w:rsid w:val="00272569"/>
    <w:rsid w:val="00273F7E"/>
    <w:rsid w:val="002742BF"/>
    <w:rsid w:val="00275867"/>
    <w:rsid w:val="002759D4"/>
    <w:rsid w:val="002760EE"/>
    <w:rsid w:val="00276215"/>
    <w:rsid w:val="00280176"/>
    <w:rsid w:val="00280DC0"/>
    <w:rsid w:val="00281F4C"/>
    <w:rsid w:val="002833E7"/>
    <w:rsid w:val="00283E42"/>
    <w:rsid w:val="00284EB9"/>
    <w:rsid w:val="00286236"/>
    <w:rsid w:val="00286CA5"/>
    <w:rsid w:val="0029067D"/>
    <w:rsid w:val="0029148F"/>
    <w:rsid w:val="00292DD8"/>
    <w:rsid w:val="00293CE8"/>
    <w:rsid w:val="0029447C"/>
    <w:rsid w:val="00294807"/>
    <w:rsid w:val="00295B72"/>
    <w:rsid w:val="002A02A9"/>
    <w:rsid w:val="002A3A29"/>
    <w:rsid w:val="002A5DB0"/>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6017"/>
    <w:rsid w:val="00356FB0"/>
    <w:rsid w:val="00357E1B"/>
    <w:rsid w:val="00360523"/>
    <w:rsid w:val="0036063A"/>
    <w:rsid w:val="00363C22"/>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234C"/>
    <w:rsid w:val="00492743"/>
    <w:rsid w:val="004927EF"/>
    <w:rsid w:val="0049346A"/>
    <w:rsid w:val="004934F4"/>
    <w:rsid w:val="00495543"/>
    <w:rsid w:val="00496DD4"/>
    <w:rsid w:val="004970F6"/>
    <w:rsid w:val="0049727C"/>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1E3B"/>
    <w:rsid w:val="004D25E1"/>
    <w:rsid w:val="004D2E26"/>
    <w:rsid w:val="004D332F"/>
    <w:rsid w:val="004D3E3E"/>
    <w:rsid w:val="004D403F"/>
    <w:rsid w:val="004D55C3"/>
    <w:rsid w:val="004D6C5F"/>
    <w:rsid w:val="004D79DF"/>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CA9"/>
    <w:rsid w:val="00531B34"/>
    <w:rsid w:val="00532089"/>
    <w:rsid w:val="0053357C"/>
    <w:rsid w:val="00533BA1"/>
    <w:rsid w:val="00534629"/>
    <w:rsid w:val="00537747"/>
    <w:rsid w:val="00541123"/>
    <w:rsid w:val="00541373"/>
    <w:rsid w:val="00541391"/>
    <w:rsid w:val="00541C9F"/>
    <w:rsid w:val="00542364"/>
    <w:rsid w:val="00542707"/>
    <w:rsid w:val="00544D35"/>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60D75"/>
    <w:rsid w:val="00560EB6"/>
    <w:rsid w:val="00561676"/>
    <w:rsid w:val="00561C6E"/>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601AF"/>
    <w:rsid w:val="006612B7"/>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8C1"/>
    <w:rsid w:val="00690B53"/>
    <w:rsid w:val="00690C51"/>
    <w:rsid w:val="00691BD9"/>
    <w:rsid w:val="00694113"/>
    <w:rsid w:val="006946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7EFF"/>
    <w:rsid w:val="00701340"/>
    <w:rsid w:val="00702E98"/>
    <w:rsid w:val="0070402E"/>
    <w:rsid w:val="00705B9E"/>
    <w:rsid w:val="00706972"/>
    <w:rsid w:val="00706DE2"/>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61D3"/>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7BE"/>
    <w:rsid w:val="007F6A4F"/>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15C1"/>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C1C23"/>
    <w:rsid w:val="008C254B"/>
    <w:rsid w:val="008C28F6"/>
    <w:rsid w:val="008C350D"/>
    <w:rsid w:val="008C45B8"/>
    <w:rsid w:val="008C4928"/>
    <w:rsid w:val="008C6BD7"/>
    <w:rsid w:val="008C78FF"/>
    <w:rsid w:val="008D0BE3"/>
    <w:rsid w:val="008D21F8"/>
    <w:rsid w:val="008D279D"/>
    <w:rsid w:val="008D3F34"/>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2674"/>
    <w:rsid w:val="009F2BBD"/>
    <w:rsid w:val="009F30DE"/>
    <w:rsid w:val="009F31DD"/>
    <w:rsid w:val="009F4B8E"/>
    <w:rsid w:val="009F66C3"/>
    <w:rsid w:val="009F7DE3"/>
    <w:rsid w:val="009F7F57"/>
    <w:rsid w:val="00A00BD7"/>
    <w:rsid w:val="00A01B39"/>
    <w:rsid w:val="00A02B19"/>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67B4"/>
    <w:rsid w:val="00A3682E"/>
    <w:rsid w:val="00A37101"/>
    <w:rsid w:val="00A372BF"/>
    <w:rsid w:val="00A3739A"/>
    <w:rsid w:val="00A37E8B"/>
    <w:rsid w:val="00A409D5"/>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6262"/>
    <w:rsid w:val="00B26CC6"/>
    <w:rsid w:val="00B27058"/>
    <w:rsid w:val="00B27295"/>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41BD"/>
    <w:rsid w:val="00B777A6"/>
    <w:rsid w:val="00B77837"/>
    <w:rsid w:val="00B77BDE"/>
    <w:rsid w:val="00B813E6"/>
    <w:rsid w:val="00B822C4"/>
    <w:rsid w:val="00B830D3"/>
    <w:rsid w:val="00B834DE"/>
    <w:rsid w:val="00B839C1"/>
    <w:rsid w:val="00B86F96"/>
    <w:rsid w:val="00B92753"/>
    <w:rsid w:val="00B9290D"/>
    <w:rsid w:val="00B948A5"/>
    <w:rsid w:val="00B97ADB"/>
    <w:rsid w:val="00BA0032"/>
    <w:rsid w:val="00BA1B67"/>
    <w:rsid w:val="00BA1DEC"/>
    <w:rsid w:val="00BA2544"/>
    <w:rsid w:val="00BA356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BF7"/>
    <w:rsid w:val="00E44DAE"/>
    <w:rsid w:val="00E4510B"/>
    <w:rsid w:val="00E45EF4"/>
    <w:rsid w:val="00E504AB"/>
    <w:rsid w:val="00E50719"/>
    <w:rsid w:val="00E5115C"/>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D16"/>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3028"/>
    <w:rsid w:val="00EE4C35"/>
    <w:rsid w:val="00EE4F36"/>
    <w:rsid w:val="00EE69FA"/>
    <w:rsid w:val="00EE7077"/>
    <w:rsid w:val="00EE7493"/>
    <w:rsid w:val="00EF034C"/>
    <w:rsid w:val="00EF0D18"/>
    <w:rsid w:val="00EF0EF5"/>
    <w:rsid w:val="00EF2766"/>
    <w:rsid w:val="00EF2851"/>
    <w:rsid w:val="00EF394C"/>
    <w:rsid w:val="00EF3FFC"/>
    <w:rsid w:val="00EF4283"/>
    <w:rsid w:val="00EF4F90"/>
    <w:rsid w:val="00EF5152"/>
    <w:rsid w:val="00EF7F22"/>
    <w:rsid w:val="00F00471"/>
    <w:rsid w:val="00F0135D"/>
    <w:rsid w:val="00F01400"/>
    <w:rsid w:val="00F04BA9"/>
    <w:rsid w:val="00F05906"/>
    <w:rsid w:val="00F05957"/>
    <w:rsid w:val="00F05FED"/>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51A3"/>
    <w:rsid w:val="00FC541C"/>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6.787120359954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2.0614659589276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4300656767219169E-2"/>
                  <c:y val="3.0478394673509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5.46431536313551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Mar 25</c:v>
                </c:pt>
              </c:strCache>
            </c:strRef>
          </c:cat>
          <c:val>
            <c:numRef>
              <c:f>Sheet1!$B$2:$B$17</c:f>
              <c:numCache>
                <c:formatCode>0.0%</c:formatCode>
                <c:ptCount val="16"/>
                <c:pt idx="0">
                  <c:v>0.2048200166972387</c:v>
                </c:pt>
                <c:pt idx="1">
                  <c:v>9.8277108965361945E-2</c:v>
                </c:pt>
                <c:pt idx="2">
                  <c:v>4.1984639056850334E-2</c:v>
                </c:pt>
                <c:pt idx="3">
                  <c:v>6.505371460729209E-2</c:v>
                </c:pt>
                <c:pt idx="4">
                  <c:v>3.8459226024367459E-2</c:v>
                </c:pt>
                <c:pt idx="5">
                  <c:v>2.5134137186452299E-2</c:v>
                </c:pt>
                <c:pt idx="6">
                  <c:v>4.5887546751452145E-2</c:v>
                </c:pt>
                <c:pt idx="7">
                  <c:v>4.0676270782707222E-3</c:v>
                </c:pt>
                <c:pt idx="8">
                  <c:v>-9.0413468779247368E-3</c:v>
                </c:pt>
                <c:pt idx="9">
                  <c:v>-2.9790484393234711E-2</c:v>
                </c:pt>
                <c:pt idx="10">
                  <c:v>-4.4999999999999998E-2</c:v>
                </c:pt>
                <c:pt idx="11">
                  <c:v>-1.4999999999999999E-2</c:v>
                </c:pt>
                <c:pt idx="12">
                  <c:v>4.0000000000000001E-3</c:v>
                </c:pt>
                <c:pt idx="13">
                  <c:v>2.3E-2</c:v>
                </c:pt>
                <c:pt idx="14">
                  <c:v>2.5000000000000001E-2</c:v>
                </c:pt>
                <c:pt idx="15">
                  <c:v>5.8000000000000003E-2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3.4300656767219169E-2"/>
                  <c:y val="-3.7311598031076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6385143637867325E-2"/>
                  <c:y val="-3.334389910526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Mar 25</c:v>
                </c:pt>
              </c:strCache>
            </c:strRef>
          </c:cat>
          <c:val>
            <c:numRef>
              <c:f>Sheet1!$C$2:$C$17</c:f>
              <c:numCache>
                <c:formatCode>0.0%</c:formatCode>
                <c:ptCount val="16"/>
                <c:pt idx="0">
                  <c:v>0.21612143755047789</c:v>
                </c:pt>
                <c:pt idx="1">
                  <c:v>2.9661600528784558E-2</c:v>
                </c:pt>
                <c:pt idx="2">
                  <c:v>-6.9006928508311915E-2</c:v>
                </c:pt>
                <c:pt idx="3">
                  <c:v>-6.0604176537040221E-2</c:v>
                </c:pt>
                <c:pt idx="4">
                  <c:v>-4.7327185792591861E-2</c:v>
                </c:pt>
                <c:pt idx="5">
                  <c:v>-3.3686664878362534E-2</c:v>
                </c:pt>
                <c:pt idx="6">
                  <c:v>-2.2463091503221268E-2</c:v>
                </c:pt>
                <c:pt idx="7">
                  <c:v>-1.8811345521405086E-2</c:v>
                </c:pt>
                <c:pt idx="8">
                  <c:v>-1.5225006700881137E-2</c:v>
                </c:pt>
                <c:pt idx="9">
                  <c:v>-4.255941365231905E-2</c:v>
                </c:pt>
                <c:pt idx="10">
                  <c:v>-2.5000000000000001E-2</c:v>
                </c:pt>
                <c:pt idx="11">
                  <c:v>-2E-3</c:v>
                </c:pt>
                <c:pt idx="12">
                  <c:v>4.0000000000000001E-3</c:v>
                </c:pt>
                <c:pt idx="13">
                  <c:v>2.4E-2</c:v>
                </c:pt>
                <c:pt idx="14">
                  <c:v>2.4E-2</c:v>
                </c:pt>
                <c:pt idx="15">
                  <c:v>7.6999999999999999E-2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4454727070788076"/>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3.3402388053953007E-2"/>
                  <c:y val="-5.03493451331201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4.2808840880592121E-2"/>
                  <c:y val="5.330094779162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9569505125614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0575711946269294E-2"/>
                  <c:y val="6.201320398090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598E-2"/>
                  <c:y val="-7.4982487257352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6079427495135678E-2"/>
                  <c:y val="-7.35950838909641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Mar 25</c:v>
                </c:pt>
              </c:strCache>
            </c:strRef>
          </c:cat>
          <c:val>
            <c:numRef>
              <c:f>Sheet1!$B$2:$B$17</c:f>
              <c:numCache>
                <c:formatCode>0.0%</c:formatCode>
                <c:ptCount val="16"/>
                <c:pt idx="0">
                  <c:v>0.43878525962161319</c:v>
                </c:pt>
                <c:pt idx="1">
                  <c:v>2.0446607749305748E-2</c:v>
                </c:pt>
                <c:pt idx="2">
                  <c:v>-0.19372159523663715</c:v>
                </c:pt>
                <c:pt idx="3">
                  <c:v>-0.21568443215096841</c:v>
                </c:pt>
                <c:pt idx="4">
                  <c:v>-0.11662998323529136</c:v>
                </c:pt>
                <c:pt idx="5">
                  <c:v>-9.5684531390933969E-2</c:v>
                </c:pt>
                <c:pt idx="6">
                  <c:v>1.5292022796500984E-2</c:v>
                </c:pt>
                <c:pt idx="7">
                  <c:v>-1.0536879344479753E-2</c:v>
                </c:pt>
                <c:pt idx="8">
                  <c:v>-8.046566298416695E-2</c:v>
                </c:pt>
                <c:pt idx="9">
                  <c:v>-0.10197981766643789</c:v>
                </c:pt>
                <c:pt idx="10">
                  <c:v>-0.10299999999999999</c:v>
                </c:pt>
                <c:pt idx="11">
                  <c:v>-9.4E-2</c:v>
                </c:pt>
                <c:pt idx="12">
                  <c:v>-0.03</c:v>
                </c:pt>
                <c:pt idx="13">
                  <c:v>-6.6000000000000003E-2</c:v>
                </c:pt>
                <c:pt idx="14">
                  <c:v>-3.6999999999999998E-2</c:v>
                </c:pt>
                <c:pt idx="15">
                  <c:v>-6.7000000000000004E-2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2.9639806923297412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5.137622866693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4734697293682046E-2"/>
                  <c:y val="-8.2191175098475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7.9691043256378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042E-2"/>
                  <c:y val="-5.5522487655144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4.2808840880592253E-2"/>
                  <c:y val="4.6915517812832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Mar 25</c:v>
                </c:pt>
              </c:strCache>
            </c:strRef>
          </c:cat>
          <c:val>
            <c:numRef>
              <c:f>Sheet1!$C$2:$C$17</c:f>
              <c:numCache>
                <c:formatCode>0.0%</c:formatCode>
                <c:ptCount val="16"/>
                <c:pt idx="0">
                  <c:v>0.38838021911923787</c:v>
                </c:pt>
                <c:pt idx="1">
                  <c:v>-4.2613655037908447E-2</c:v>
                </c:pt>
                <c:pt idx="2">
                  <c:v>-0.19148523329527564</c:v>
                </c:pt>
                <c:pt idx="3">
                  <c:v>-0.17548667146119049</c:v>
                </c:pt>
                <c:pt idx="4">
                  <c:v>-5.2642001773735923E-2</c:v>
                </c:pt>
                <c:pt idx="5">
                  <c:v>-1.5983682345610054E-2</c:v>
                </c:pt>
                <c:pt idx="6">
                  <c:v>0.11363120529620017</c:v>
                </c:pt>
                <c:pt idx="7">
                  <c:v>7.9793243820720741E-2</c:v>
                </c:pt>
                <c:pt idx="8">
                  <c:v>-2.4441282541258274E-3</c:v>
                </c:pt>
                <c:pt idx="9">
                  <c:v>1.5053952111881978E-2</c:v>
                </c:pt>
                <c:pt idx="10">
                  <c:v>-7.0000000000000007E-2</c:v>
                </c:pt>
                <c:pt idx="11">
                  <c:v>-7.5999999999999998E-2</c:v>
                </c:pt>
                <c:pt idx="12">
                  <c:v>-1.4E-2</c:v>
                </c:pt>
                <c:pt idx="13">
                  <c:v>-0.10100000000000001</c:v>
                </c:pt>
                <c:pt idx="14">
                  <c:v>-8.5000000000000006E-2</c:v>
                </c:pt>
                <c:pt idx="15">
                  <c:v>-9.8000000000000004E-2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DC191-DBC7-410B-ACEB-2BCA42E5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5</Pages>
  <Words>2054</Words>
  <Characters>11713</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16</cp:revision>
  <dcterms:created xsi:type="dcterms:W3CDTF">2025-04-12T00:06:00Z</dcterms:created>
  <dcterms:modified xsi:type="dcterms:W3CDTF">2025-04-14T15:05:00Z</dcterms:modified>
</cp:coreProperties>
</file>