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9EEA" w14:textId="77777777" w:rsidR="001544DD" w:rsidRDefault="001544DD" w:rsidP="00B617AE">
      <w:pPr>
        <w:pStyle w:val="Heading1"/>
        <w:spacing w:before="0"/>
        <w:rPr>
          <w:rFonts w:ascii="Arial" w:hAnsi="Arial" w:cs="Arial"/>
          <w:color w:val="0F243E" w:themeColor="text2" w:themeShade="80"/>
          <w:sz w:val="32"/>
          <w:szCs w:val="32"/>
        </w:rPr>
      </w:pPr>
    </w:p>
    <w:p w14:paraId="4C57A614" w14:textId="1DE63AD1" w:rsidR="00B617AE" w:rsidRPr="008375E1" w:rsidRDefault="00103FB9" w:rsidP="00B617AE">
      <w:pPr>
        <w:pStyle w:val="Heading1"/>
        <w:spacing w:before="0"/>
        <w:rPr>
          <w:rFonts w:ascii="Arial" w:hAnsi="Arial" w:cs="Arial"/>
          <w:color w:val="0F243E" w:themeColor="text2" w:themeShade="80"/>
          <w:sz w:val="32"/>
          <w:szCs w:val="32"/>
        </w:rPr>
      </w:pPr>
      <w:r>
        <w:rPr>
          <w:rFonts w:ascii="Arial" w:hAnsi="Arial" w:cs="Arial"/>
          <w:color w:val="0F243E" w:themeColor="text2" w:themeShade="80"/>
          <w:sz w:val="32"/>
          <w:szCs w:val="32"/>
        </w:rPr>
        <w:t>Finfish Powers November Gains Across Fresh and Frozen Seafood</w:t>
      </w:r>
    </w:p>
    <w:p w14:paraId="0D126E4D" w14:textId="77777777" w:rsidR="00F2712D" w:rsidRPr="000A7977" w:rsidRDefault="00F2712D" w:rsidP="00EB2266">
      <w:pPr>
        <w:pStyle w:val="Heading1"/>
        <w:spacing w:before="0"/>
        <w:rPr>
          <w:rFonts w:ascii="Arial" w:hAnsi="Arial" w:cs="Arial"/>
          <w:color w:val="00857C"/>
          <w:sz w:val="20"/>
          <w:szCs w:val="20"/>
        </w:rPr>
      </w:pPr>
      <w:r w:rsidRPr="000A7977">
        <w:rPr>
          <w:rFonts w:ascii="Arial" w:hAnsi="Arial" w:cs="Arial"/>
          <w:color w:val="00857C"/>
          <w:sz w:val="20"/>
          <w:szCs w:val="20"/>
        </w:rPr>
        <w:t xml:space="preserve">By: Anne-Marie Roerink, </w:t>
      </w:r>
      <w:r w:rsidR="00E62323" w:rsidRPr="000A7977">
        <w:rPr>
          <w:rFonts w:ascii="Arial" w:hAnsi="Arial" w:cs="Arial"/>
          <w:color w:val="00857C"/>
          <w:sz w:val="20"/>
          <w:szCs w:val="20"/>
        </w:rPr>
        <w:t xml:space="preserve">President, </w:t>
      </w:r>
      <w:r w:rsidRPr="000A7977">
        <w:rPr>
          <w:rFonts w:ascii="Arial" w:hAnsi="Arial" w:cs="Arial"/>
          <w:color w:val="00857C"/>
          <w:sz w:val="20"/>
          <w:szCs w:val="20"/>
        </w:rPr>
        <w:t xml:space="preserve">210 Analytics </w:t>
      </w:r>
    </w:p>
    <w:p w14:paraId="7EF01A31" w14:textId="77777777" w:rsidR="004A26DF" w:rsidRPr="007A7F0E" w:rsidRDefault="004A26DF" w:rsidP="00680C52">
      <w:pPr>
        <w:pStyle w:val="NoSpacing"/>
        <w:rPr>
          <w:rFonts w:ascii="Arial" w:hAnsi="Arial" w:cs="Arial"/>
          <w:sz w:val="18"/>
          <w:szCs w:val="18"/>
        </w:rPr>
      </w:pPr>
    </w:p>
    <w:p w14:paraId="4FAA18EF" w14:textId="31765145" w:rsidR="003B2ECF" w:rsidRPr="003B2ECF" w:rsidRDefault="00F60945" w:rsidP="003B2ECF">
      <w:pPr>
        <w:pStyle w:val="NoSpacing"/>
        <w:rPr>
          <w:rFonts w:ascii="Arial" w:hAnsi="Arial" w:cs="Arial"/>
          <w:b/>
          <w:bCs/>
          <w:color w:val="00857C"/>
          <w:sz w:val="24"/>
          <w:szCs w:val="24"/>
        </w:rPr>
      </w:pPr>
      <w:bookmarkStart w:id="0" w:name="_Hlk187590832"/>
      <w:bookmarkStart w:id="1" w:name="_Hlk174083389"/>
      <w:bookmarkStart w:id="2" w:name="_Hlk174043741"/>
      <w:bookmarkStart w:id="3" w:name="_Hlk179721807"/>
      <w:r>
        <w:rPr>
          <w:rFonts w:ascii="Arial" w:hAnsi="Arial" w:cs="Arial"/>
          <w:b/>
          <w:bCs/>
          <w:color w:val="00857C"/>
          <w:sz w:val="24"/>
          <w:szCs w:val="24"/>
        </w:rPr>
        <w:t xml:space="preserve">November </w:t>
      </w:r>
      <w:r w:rsidR="00CD7E54">
        <w:rPr>
          <w:rFonts w:ascii="Arial" w:hAnsi="Arial" w:cs="Arial"/>
          <w:b/>
          <w:bCs/>
          <w:color w:val="00857C"/>
          <w:sz w:val="24"/>
          <w:szCs w:val="24"/>
        </w:rPr>
        <w:t xml:space="preserve">in </w:t>
      </w:r>
      <w:r w:rsidR="003B2ECF" w:rsidRPr="00A357C9">
        <w:rPr>
          <w:rFonts w:ascii="Arial" w:hAnsi="Arial" w:cs="Arial"/>
          <w:b/>
          <w:bCs/>
          <w:color w:val="00857C"/>
          <w:sz w:val="24"/>
          <w:szCs w:val="24"/>
        </w:rPr>
        <w:t>Review</w:t>
      </w:r>
    </w:p>
    <w:bookmarkEnd w:id="0"/>
    <w:bookmarkEnd w:id="1"/>
    <w:bookmarkEnd w:id="2"/>
    <w:bookmarkEnd w:id="3"/>
    <w:p w14:paraId="2585A888" w14:textId="77777777" w:rsidR="00F60945" w:rsidRDefault="00F60945" w:rsidP="00F60945">
      <w:pPr>
        <w:pStyle w:val="NoSpacing"/>
        <w:numPr>
          <w:ilvl w:val="0"/>
          <w:numId w:val="18"/>
        </w:numPr>
        <w:ind w:left="360"/>
        <w:rPr>
          <w:rFonts w:ascii="Arial" w:hAnsi="Arial" w:cs="Arial"/>
          <w:sz w:val="20"/>
          <w:szCs w:val="20"/>
        </w:rPr>
      </w:pPr>
      <w:r w:rsidRPr="008172E5">
        <w:rPr>
          <w:rFonts w:ascii="Arial" w:hAnsi="Arial" w:cs="Arial"/>
          <w:sz w:val="20"/>
          <w:szCs w:val="20"/>
        </w:rPr>
        <w:t>The longest U.S. federal government shutdown in history ended after 43 days, extending last year’s spending levels for most of the government through the end of January and funding some agencies, including SNAP, through September 2026.</w:t>
      </w:r>
    </w:p>
    <w:p w14:paraId="139F3550" w14:textId="77777777" w:rsidR="00F60945" w:rsidRDefault="00F60945" w:rsidP="00F60945">
      <w:pPr>
        <w:pStyle w:val="NoSpacing"/>
        <w:numPr>
          <w:ilvl w:val="0"/>
          <w:numId w:val="18"/>
        </w:numPr>
        <w:ind w:left="360"/>
        <w:rPr>
          <w:rFonts w:ascii="Arial" w:hAnsi="Arial" w:cs="Arial"/>
          <w:sz w:val="20"/>
          <w:szCs w:val="20"/>
        </w:rPr>
      </w:pPr>
      <w:r w:rsidRPr="008172E5">
        <w:rPr>
          <w:rFonts w:ascii="Arial" w:hAnsi="Arial" w:cs="Arial"/>
          <w:sz w:val="20"/>
          <w:szCs w:val="20"/>
        </w:rPr>
        <w:t>A November 14 executive order exempted more than 200 agricultural and food inputs from reciprocal tariffs, including beef, coffee, cocoa, tropical fruit and certain fertilizers.</w:t>
      </w:r>
    </w:p>
    <w:p w14:paraId="5DCCF19D" w14:textId="77777777" w:rsidR="00F60945" w:rsidRDefault="00F60945" w:rsidP="00F60945">
      <w:pPr>
        <w:pStyle w:val="NoSpacing"/>
        <w:numPr>
          <w:ilvl w:val="0"/>
          <w:numId w:val="18"/>
        </w:numPr>
        <w:ind w:left="360"/>
        <w:rPr>
          <w:rFonts w:ascii="Arial" w:hAnsi="Arial" w:cs="Arial"/>
          <w:sz w:val="20"/>
          <w:szCs w:val="20"/>
        </w:rPr>
      </w:pPr>
      <w:r w:rsidRPr="008172E5">
        <w:rPr>
          <w:rFonts w:ascii="Arial" w:hAnsi="Arial" w:cs="Arial"/>
          <w:sz w:val="20"/>
          <w:szCs w:val="20"/>
        </w:rPr>
        <w:t>Consumer sentiment remained subdued. At 51.0, the November University of Michigan Index marked the second-lowest reading on record, just above the June 2022 low of 50.0, as consumers continued to express concern over high prices and weakening incomes.</w:t>
      </w:r>
    </w:p>
    <w:p w14:paraId="1A5DECAE" w14:textId="52D96AC1" w:rsidR="00F60945" w:rsidRPr="007A7F0E" w:rsidRDefault="00F60945" w:rsidP="007A7F0E">
      <w:pPr>
        <w:pStyle w:val="NoSpacing"/>
        <w:numPr>
          <w:ilvl w:val="0"/>
          <w:numId w:val="18"/>
        </w:numPr>
        <w:ind w:left="360"/>
        <w:rPr>
          <w:rFonts w:ascii="Arial" w:hAnsi="Arial" w:cs="Arial"/>
          <w:sz w:val="20"/>
          <w:szCs w:val="20"/>
        </w:rPr>
      </w:pPr>
      <w:r>
        <w:rPr>
          <w:noProof/>
          <w:lang w:val="nl-NL" w:eastAsia="nl-NL"/>
        </w:rPr>
        <w:drawing>
          <wp:anchor distT="0" distB="0" distL="114300" distR="114300" simplePos="0" relativeHeight="251694080" behindDoc="0" locked="0" layoutInCell="1" allowOverlap="1" wp14:anchorId="16B4DDBC" wp14:editId="2C123B2A">
            <wp:simplePos x="0" y="0"/>
            <wp:positionH relativeFrom="page">
              <wp:posOffset>3208020</wp:posOffset>
            </wp:positionH>
            <wp:positionV relativeFrom="paragraph">
              <wp:posOffset>200660</wp:posOffset>
            </wp:positionV>
            <wp:extent cx="4259580" cy="1805940"/>
            <wp:effectExtent l="0" t="0" r="7620" b="3810"/>
            <wp:wrapSquare wrapText="bothSides"/>
            <wp:docPr id="2556196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7A7F0E">
        <w:rPr>
          <w:rFonts w:ascii="Arial" w:hAnsi="Arial" w:cs="Arial"/>
          <w:sz w:val="20"/>
          <w:szCs w:val="20"/>
        </w:rPr>
        <w:t xml:space="preserve">The November four-week average for </w:t>
      </w:r>
      <w:bookmarkStart w:id="4" w:name="_Hlk216616481"/>
      <w:r w:rsidR="007A7F0E">
        <w:rPr>
          <w:rFonts w:ascii="Arial" w:hAnsi="Arial" w:cs="Arial"/>
          <w:sz w:val="20"/>
          <w:szCs w:val="20"/>
        </w:rPr>
        <w:t>restaurant transactions declined 3% versus being down 2% for the latest 52 weeks</w:t>
      </w:r>
      <w:r w:rsidR="007A7F0E" w:rsidRPr="008172E5">
        <w:rPr>
          <w:rFonts w:ascii="Arial" w:hAnsi="Arial" w:cs="Arial"/>
          <w:sz w:val="20"/>
          <w:szCs w:val="20"/>
        </w:rPr>
        <w:t xml:space="preserve">, according to </w:t>
      </w:r>
      <w:proofErr w:type="spellStart"/>
      <w:r w:rsidR="007A7F0E" w:rsidRPr="008172E5">
        <w:rPr>
          <w:rFonts w:ascii="Arial" w:hAnsi="Arial" w:cs="Arial"/>
          <w:sz w:val="20"/>
          <w:szCs w:val="20"/>
        </w:rPr>
        <w:t>Circana</w:t>
      </w:r>
      <w:proofErr w:type="spellEnd"/>
      <w:r w:rsidR="007A7F0E" w:rsidRPr="008172E5">
        <w:rPr>
          <w:rFonts w:ascii="Arial" w:hAnsi="Arial" w:cs="Arial"/>
          <w:sz w:val="20"/>
          <w:szCs w:val="20"/>
        </w:rPr>
        <w:t xml:space="preserve">. </w:t>
      </w:r>
      <w:r w:rsidR="007A7F0E">
        <w:rPr>
          <w:rFonts w:ascii="Arial" w:hAnsi="Arial" w:cs="Arial"/>
          <w:sz w:val="20"/>
          <w:szCs w:val="20"/>
        </w:rPr>
        <w:t xml:space="preserve">Restaurant traffic declines steepened during Thanksgiving week, down 5% year-over-year. </w:t>
      </w:r>
      <w:r w:rsidR="007A7F0E" w:rsidRPr="008172E5">
        <w:rPr>
          <w:rFonts w:ascii="Arial" w:hAnsi="Arial" w:cs="Arial"/>
          <w:sz w:val="20"/>
          <w:szCs w:val="20"/>
        </w:rPr>
        <w:t xml:space="preserve">At the same time, retail food and beverage volume returned to positive territory after two months of year-over-year declines. </w:t>
      </w:r>
      <w:r w:rsidR="007A7F0E">
        <w:rPr>
          <w:rFonts w:ascii="Arial" w:hAnsi="Arial" w:cs="Arial"/>
          <w:sz w:val="20"/>
          <w:szCs w:val="20"/>
        </w:rPr>
        <w:t>The first week’s soft volume</w:t>
      </w:r>
      <w:r w:rsidR="007A7F0E" w:rsidRPr="008172E5">
        <w:rPr>
          <w:rFonts w:ascii="Arial" w:hAnsi="Arial" w:cs="Arial"/>
          <w:sz w:val="20"/>
          <w:szCs w:val="20"/>
        </w:rPr>
        <w:t xml:space="preserve"> was more than offset by stronger performance</w:t>
      </w:r>
      <w:r w:rsidR="007A7F0E">
        <w:rPr>
          <w:rFonts w:ascii="Arial" w:hAnsi="Arial" w:cs="Arial"/>
          <w:sz w:val="20"/>
          <w:szCs w:val="20"/>
        </w:rPr>
        <w:t>s</w:t>
      </w:r>
      <w:r w:rsidR="007A7F0E" w:rsidRPr="008172E5">
        <w:rPr>
          <w:rFonts w:ascii="Arial" w:hAnsi="Arial" w:cs="Arial"/>
          <w:sz w:val="20"/>
          <w:szCs w:val="20"/>
        </w:rPr>
        <w:t xml:space="preserve"> </w:t>
      </w:r>
      <w:r w:rsidR="007A7F0E">
        <w:rPr>
          <w:rFonts w:ascii="Arial" w:hAnsi="Arial" w:cs="Arial"/>
          <w:sz w:val="20"/>
          <w:szCs w:val="20"/>
        </w:rPr>
        <w:t xml:space="preserve">in </w:t>
      </w:r>
      <w:r w:rsidR="007A7F0E" w:rsidRPr="008172E5">
        <w:rPr>
          <w:rFonts w:ascii="Arial" w:hAnsi="Arial" w:cs="Arial"/>
          <w:sz w:val="20"/>
          <w:szCs w:val="20"/>
        </w:rPr>
        <w:t>the remaining weeks</w:t>
      </w:r>
      <w:r w:rsidR="007A7F0E">
        <w:rPr>
          <w:rFonts w:ascii="Arial" w:hAnsi="Arial" w:cs="Arial"/>
          <w:sz w:val="20"/>
          <w:szCs w:val="20"/>
        </w:rPr>
        <w:t>.</w:t>
      </w:r>
      <w:r w:rsidR="007A7F0E" w:rsidRPr="008172E5">
        <w:rPr>
          <w:rFonts w:ascii="Arial" w:hAnsi="Arial" w:cs="Arial"/>
          <w:sz w:val="20"/>
          <w:szCs w:val="20"/>
        </w:rPr>
        <w:t xml:space="preserve"> </w:t>
      </w:r>
      <w:r w:rsidR="007A7F0E">
        <w:rPr>
          <w:rFonts w:ascii="Arial" w:hAnsi="Arial" w:cs="Arial"/>
          <w:sz w:val="20"/>
          <w:szCs w:val="20"/>
        </w:rPr>
        <w:t xml:space="preserve">The </w:t>
      </w:r>
      <w:r w:rsidR="007A7F0E" w:rsidRPr="008172E5">
        <w:rPr>
          <w:rFonts w:ascii="Arial" w:hAnsi="Arial" w:cs="Arial"/>
          <w:sz w:val="20"/>
          <w:szCs w:val="20"/>
        </w:rPr>
        <w:t>Thanksgiving holiday week delivered both dollar and unit gains.</w:t>
      </w:r>
      <w:r w:rsidR="007A7F0E" w:rsidRPr="007F355E">
        <w:rPr>
          <w:noProof/>
          <w:lang w:val="en-GB" w:eastAsia="nl-NL"/>
        </w:rPr>
        <w:t xml:space="preserve"> </w:t>
      </w:r>
      <w:r w:rsidR="007A7F0E" w:rsidRPr="004D35DD">
        <w:rPr>
          <w:noProof/>
          <w:lang w:val="en-GB" w:eastAsia="nl-NL"/>
        </w:rPr>
        <w:t xml:space="preserve"> </w:t>
      </w:r>
      <w:bookmarkEnd w:id="4"/>
      <w:r w:rsidRPr="007A7F0E">
        <w:rPr>
          <w:noProof/>
          <w:lang w:val="nl-NL" w:eastAsia="nl-NL"/>
        </w:rPr>
        <w:t xml:space="preserve"> </w:t>
      </w:r>
    </w:p>
    <w:p w14:paraId="204D7E1E" w14:textId="77777777" w:rsidR="00F60945" w:rsidRDefault="00F60945" w:rsidP="00F60945">
      <w:pPr>
        <w:pStyle w:val="NoSpacing"/>
        <w:numPr>
          <w:ilvl w:val="0"/>
          <w:numId w:val="18"/>
        </w:numPr>
        <w:ind w:left="360"/>
        <w:rPr>
          <w:rFonts w:ascii="Arial" w:hAnsi="Arial" w:cs="Arial"/>
          <w:sz w:val="20"/>
          <w:szCs w:val="20"/>
        </w:rPr>
      </w:pPr>
      <w:r>
        <w:rPr>
          <w:rFonts w:ascii="Arial" w:hAnsi="Arial" w:cs="Arial"/>
          <w:sz w:val="20"/>
          <w:szCs w:val="20"/>
        </w:rPr>
        <w:t xml:space="preserve">Grocery trips continued to grow, while the units per trip continued to fall as consumers focus on skipping non-essentials, capitalizing on sales promotions and avoiding food waste. </w:t>
      </w:r>
    </w:p>
    <w:p w14:paraId="57EC137F" w14:textId="77777777" w:rsidR="00F60945" w:rsidRDefault="00F60945" w:rsidP="00F60945">
      <w:pPr>
        <w:pStyle w:val="NoSpacing"/>
        <w:numPr>
          <w:ilvl w:val="0"/>
          <w:numId w:val="18"/>
        </w:numPr>
        <w:ind w:left="360"/>
        <w:rPr>
          <w:rFonts w:ascii="Arial" w:hAnsi="Arial" w:cs="Arial"/>
          <w:sz w:val="20"/>
          <w:szCs w:val="20"/>
        </w:rPr>
      </w:pPr>
      <w:r w:rsidRPr="008172E5">
        <w:rPr>
          <w:rFonts w:ascii="Arial" w:hAnsi="Arial" w:cs="Arial"/>
          <w:sz w:val="20"/>
          <w:szCs w:val="20"/>
        </w:rPr>
        <w:t>The U.S. online grocery market reached $11.6 billion in October 2025, up 10.5% year-over-year, according to Brick Meets Click/Mercatus. Notably, households age 60+ increased their ordering activity. Following Walmart’s lead, Target and Instacart partnered with ChatGPT to enable in-app purchases, further shrinking the gap between inspiration, information and transaction.</w:t>
      </w:r>
    </w:p>
    <w:p w14:paraId="5D1F8FEF" w14:textId="77777777" w:rsidR="007A7F0E" w:rsidRPr="008172E5" w:rsidRDefault="007A7F0E" w:rsidP="007A7F0E">
      <w:pPr>
        <w:pStyle w:val="NoSpacing"/>
        <w:ind w:left="360"/>
        <w:rPr>
          <w:rFonts w:ascii="Arial" w:hAnsi="Arial" w:cs="Arial"/>
          <w:sz w:val="20"/>
          <w:szCs w:val="20"/>
        </w:rPr>
      </w:pPr>
    </w:p>
    <w:p w14:paraId="7A6A6839" w14:textId="77777777" w:rsidR="004010DC" w:rsidRPr="00BF1935" w:rsidRDefault="004010DC" w:rsidP="004010DC">
      <w:pPr>
        <w:pStyle w:val="NoSpacing"/>
        <w:rPr>
          <w:rFonts w:ascii="Arial" w:hAnsi="Arial" w:cs="Arial"/>
          <w:b/>
          <w:color w:val="26326D"/>
        </w:rPr>
      </w:pPr>
      <w:r w:rsidRPr="00BF1935">
        <w:rPr>
          <w:rFonts w:ascii="Arial" w:hAnsi="Arial" w:cs="Arial"/>
          <w:b/>
          <w:color w:val="26326D"/>
        </w:rPr>
        <w:t>Inflation Insights</w:t>
      </w:r>
    </w:p>
    <w:p w14:paraId="77F56E21" w14:textId="77777777" w:rsidR="00F60945" w:rsidRDefault="00F60945" w:rsidP="00F60945">
      <w:pPr>
        <w:pStyle w:val="NoSpacing"/>
        <w:rPr>
          <w:rFonts w:ascii="Arial" w:hAnsi="Arial" w:cs="Arial"/>
          <w:sz w:val="20"/>
          <w:szCs w:val="20"/>
        </w:rPr>
      </w:pPr>
      <w:r w:rsidRPr="008172E5">
        <w:rPr>
          <w:rFonts w:ascii="Arial" w:hAnsi="Arial" w:cs="Arial"/>
          <w:sz w:val="20"/>
          <w:szCs w:val="20"/>
        </w:rPr>
        <w:t xml:space="preserve">In November 2025 (the four weeks ending 11/30/2025), the price per unit across all foods and beverages in the </w:t>
      </w:r>
      <w:proofErr w:type="spellStart"/>
      <w:r w:rsidRPr="008172E5">
        <w:rPr>
          <w:rFonts w:ascii="Arial" w:hAnsi="Arial" w:cs="Arial"/>
          <w:sz w:val="20"/>
          <w:szCs w:val="20"/>
        </w:rPr>
        <w:t>Circana</w:t>
      </w:r>
      <w:proofErr w:type="spellEnd"/>
      <w:r w:rsidRPr="008172E5">
        <w:rPr>
          <w:rFonts w:ascii="Arial" w:hAnsi="Arial" w:cs="Arial"/>
          <w:sz w:val="20"/>
          <w:szCs w:val="20"/>
        </w:rPr>
        <w:t xml:space="preserve"> MULO+ universe was $4.25, up 1.4% year-over-year. Most departments posted modest price growth.</w:t>
      </w:r>
    </w:p>
    <w:p w14:paraId="7F07227A" w14:textId="77777777" w:rsidR="00F60945" w:rsidRDefault="00F60945" w:rsidP="00F60945">
      <w:pPr>
        <w:pStyle w:val="NoSpacing"/>
        <w:numPr>
          <w:ilvl w:val="0"/>
          <w:numId w:val="19"/>
        </w:numPr>
        <w:ind w:left="360"/>
        <w:rPr>
          <w:rFonts w:ascii="Arial" w:hAnsi="Arial" w:cs="Arial"/>
          <w:sz w:val="20"/>
          <w:szCs w:val="20"/>
        </w:rPr>
      </w:pPr>
      <w:r w:rsidRPr="008172E5">
        <w:rPr>
          <w:rFonts w:ascii="Arial" w:hAnsi="Arial" w:cs="Arial"/>
          <w:sz w:val="20"/>
          <w:szCs w:val="20"/>
        </w:rPr>
        <w:t>Center-store prices averaged $3.90, an increase of 2.8% year-over-year.</w:t>
      </w:r>
    </w:p>
    <w:p w14:paraId="0395A3AC" w14:textId="6D6962FB" w:rsidR="00F60945" w:rsidRPr="008172E5" w:rsidRDefault="00F60945" w:rsidP="00F60945">
      <w:pPr>
        <w:pStyle w:val="NoSpacing"/>
        <w:numPr>
          <w:ilvl w:val="0"/>
          <w:numId w:val="19"/>
        </w:numPr>
        <w:ind w:left="360"/>
        <w:rPr>
          <w:rFonts w:ascii="Arial" w:hAnsi="Arial" w:cs="Arial"/>
          <w:sz w:val="20"/>
          <w:szCs w:val="20"/>
        </w:rPr>
      </w:pPr>
      <w:r w:rsidRPr="008172E5">
        <w:rPr>
          <w:rFonts w:ascii="Arial" w:hAnsi="Arial" w:cs="Arial"/>
          <w:sz w:val="20"/>
          <w:szCs w:val="20"/>
        </w:rPr>
        <w:t>Perishables reached $4.39 per unit, up 0.4% versus November 2024.</w:t>
      </w:r>
    </w:p>
    <w:p w14:paraId="18A47167" w14:textId="77777777" w:rsidR="009F1921" w:rsidRPr="00FE46DC" w:rsidRDefault="009F1921" w:rsidP="00F60945">
      <w:pPr>
        <w:pStyle w:val="NoSpacing"/>
        <w:rPr>
          <w:rFonts w:ascii="Arial" w:hAnsi="Arial" w:cs="Arial"/>
          <w:sz w:val="16"/>
          <w:szCs w:val="16"/>
        </w:rPr>
      </w:pPr>
    </w:p>
    <w:tbl>
      <w:tblPr>
        <w:tblStyle w:val="GridTable4"/>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
        <w:gridCol w:w="846"/>
        <w:gridCol w:w="846"/>
        <w:gridCol w:w="847"/>
        <w:gridCol w:w="846"/>
        <w:gridCol w:w="847"/>
        <w:gridCol w:w="846"/>
        <w:gridCol w:w="847"/>
        <w:gridCol w:w="846"/>
        <w:gridCol w:w="847"/>
        <w:gridCol w:w="846"/>
        <w:gridCol w:w="847"/>
      </w:tblGrid>
      <w:tr w:rsidR="00F60945" w:rsidRPr="00545B05" w14:paraId="1B5192F4" w14:textId="77777777" w:rsidTr="00F60945">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124" w:type="dxa"/>
            <w:shd w:val="clear" w:color="auto" w:fill="17365D" w:themeFill="text2" w:themeFillShade="BF"/>
            <w:hideMark/>
          </w:tcPr>
          <w:p w14:paraId="2FAEDD77" w14:textId="77777777" w:rsidR="00F60945" w:rsidRPr="002E7AF4" w:rsidRDefault="00F60945" w:rsidP="00F60945">
            <w:pPr>
              <w:pStyle w:val="NoSpacing"/>
              <w:jc w:val="center"/>
              <w:rPr>
                <w:rFonts w:ascii="Arial" w:hAnsi="Arial" w:cs="Arial"/>
                <w:sz w:val="18"/>
              </w:rPr>
            </w:pPr>
            <w:r w:rsidRPr="002E7AF4">
              <w:rPr>
                <w:rFonts w:ascii="Arial" w:hAnsi="Arial" w:cs="Arial"/>
                <w:sz w:val="18"/>
              </w:rPr>
              <w:t>Food &amp; beverages</w:t>
            </w:r>
          </w:p>
        </w:tc>
        <w:tc>
          <w:tcPr>
            <w:tcW w:w="846" w:type="dxa"/>
            <w:shd w:val="clear" w:color="auto" w:fill="17365D" w:themeFill="text2" w:themeFillShade="BF"/>
            <w:vAlign w:val="center"/>
            <w:hideMark/>
          </w:tcPr>
          <w:p w14:paraId="6272DE98" w14:textId="77777777" w:rsidR="00F60945" w:rsidRPr="002E7AF4" w:rsidRDefault="00F60945" w:rsidP="00F6094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2019</w:t>
            </w:r>
          </w:p>
        </w:tc>
        <w:tc>
          <w:tcPr>
            <w:tcW w:w="846" w:type="dxa"/>
            <w:shd w:val="clear" w:color="auto" w:fill="17365D" w:themeFill="text2" w:themeFillShade="BF"/>
            <w:vAlign w:val="center"/>
            <w:hideMark/>
          </w:tcPr>
          <w:p w14:paraId="6BD2482E" w14:textId="77777777" w:rsidR="00F60945" w:rsidRPr="002E7AF4" w:rsidRDefault="00F60945" w:rsidP="00F6094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2020</w:t>
            </w:r>
          </w:p>
        </w:tc>
        <w:tc>
          <w:tcPr>
            <w:tcW w:w="847" w:type="dxa"/>
            <w:shd w:val="clear" w:color="auto" w:fill="17365D" w:themeFill="text2" w:themeFillShade="BF"/>
            <w:vAlign w:val="center"/>
            <w:hideMark/>
          </w:tcPr>
          <w:p w14:paraId="7D27FA2E" w14:textId="77777777" w:rsidR="00F60945" w:rsidRPr="002E7AF4" w:rsidRDefault="00F60945" w:rsidP="00F6094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2021</w:t>
            </w:r>
          </w:p>
        </w:tc>
        <w:tc>
          <w:tcPr>
            <w:tcW w:w="846" w:type="dxa"/>
            <w:shd w:val="clear" w:color="auto" w:fill="17365D" w:themeFill="text2" w:themeFillShade="BF"/>
            <w:vAlign w:val="center"/>
            <w:hideMark/>
          </w:tcPr>
          <w:p w14:paraId="01B59F17" w14:textId="77777777" w:rsidR="00F60945" w:rsidRPr="002E7AF4" w:rsidRDefault="00F60945" w:rsidP="00F6094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2022</w:t>
            </w:r>
          </w:p>
        </w:tc>
        <w:tc>
          <w:tcPr>
            <w:tcW w:w="847" w:type="dxa"/>
            <w:shd w:val="clear" w:color="auto" w:fill="17365D" w:themeFill="text2" w:themeFillShade="BF"/>
            <w:vAlign w:val="center"/>
            <w:hideMark/>
          </w:tcPr>
          <w:p w14:paraId="2FA4E9E2" w14:textId="77777777" w:rsidR="00F60945" w:rsidRPr="002E7AF4" w:rsidRDefault="00F60945" w:rsidP="00F6094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2023</w:t>
            </w:r>
          </w:p>
        </w:tc>
        <w:tc>
          <w:tcPr>
            <w:tcW w:w="846" w:type="dxa"/>
            <w:shd w:val="clear" w:color="auto" w:fill="17365D" w:themeFill="text2" w:themeFillShade="BF"/>
            <w:vAlign w:val="center"/>
          </w:tcPr>
          <w:p w14:paraId="64AD433E" w14:textId="77777777" w:rsidR="00F60945" w:rsidRPr="002E7AF4" w:rsidRDefault="00F60945" w:rsidP="00F6094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2024</w:t>
            </w:r>
          </w:p>
        </w:tc>
        <w:tc>
          <w:tcPr>
            <w:tcW w:w="847" w:type="dxa"/>
            <w:shd w:val="clear" w:color="auto" w:fill="17365D" w:themeFill="text2" w:themeFillShade="BF"/>
            <w:vAlign w:val="center"/>
          </w:tcPr>
          <w:p w14:paraId="2F7A0AE6" w14:textId="1C6BD0CC" w:rsidR="00F60945" w:rsidRPr="002E7AF4" w:rsidRDefault="00F60945" w:rsidP="00F6094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Q4 2024</w:t>
            </w:r>
          </w:p>
        </w:tc>
        <w:tc>
          <w:tcPr>
            <w:tcW w:w="846" w:type="dxa"/>
            <w:shd w:val="clear" w:color="auto" w:fill="17365D" w:themeFill="text2" w:themeFillShade="BF"/>
            <w:vAlign w:val="center"/>
          </w:tcPr>
          <w:p w14:paraId="7800DB30" w14:textId="027D2892" w:rsidR="00F60945" w:rsidRPr="002E7AF4" w:rsidRDefault="00F60945" w:rsidP="00F6094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w:t>
            </w:r>
            <w:r>
              <w:rPr>
                <w:rFonts w:ascii="Arial" w:hAnsi="Arial" w:cs="Arial"/>
                <w:sz w:val="18"/>
              </w:rPr>
              <w:t>1</w:t>
            </w:r>
            <w:r>
              <w:rPr>
                <w:rFonts w:ascii="Arial" w:hAnsi="Arial" w:cs="Arial"/>
                <w:sz w:val="18"/>
              </w:rPr>
              <w:br/>
            </w:r>
            <w:r w:rsidRPr="002E7AF4">
              <w:rPr>
                <w:rFonts w:ascii="Arial" w:hAnsi="Arial" w:cs="Arial"/>
                <w:sz w:val="18"/>
              </w:rPr>
              <w:t>202</w:t>
            </w:r>
            <w:r>
              <w:rPr>
                <w:rFonts w:ascii="Arial" w:hAnsi="Arial" w:cs="Arial"/>
                <w:sz w:val="18"/>
              </w:rPr>
              <w:t>5</w:t>
            </w:r>
          </w:p>
        </w:tc>
        <w:tc>
          <w:tcPr>
            <w:tcW w:w="847" w:type="dxa"/>
            <w:shd w:val="clear" w:color="auto" w:fill="17365D" w:themeFill="text2" w:themeFillShade="BF"/>
            <w:vAlign w:val="center"/>
            <w:hideMark/>
          </w:tcPr>
          <w:p w14:paraId="53E5C522" w14:textId="3DD411F1" w:rsidR="00F60945" w:rsidRPr="002E7AF4" w:rsidRDefault="00F60945" w:rsidP="00F6094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w:t>
            </w:r>
            <w:r>
              <w:rPr>
                <w:rFonts w:ascii="Arial" w:hAnsi="Arial" w:cs="Arial"/>
                <w:sz w:val="18"/>
              </w:rPr>
              <w:t>2</w:t>
            </w:r>
            <w:r>
              <w:rPr>
                <w:rFonts w:ascii="Arial" w:hAnsi="Arial" w:cs="Arial"/>
                <w:sz w:val="18"/>
              </w:rPr>
              <w:br/>
            </w:r>
            <w:r w:rsidRPr="002E7AF4">
              <w:rPr>
                <w:rFonts w:ascii="Arial" w:hAnsi="Arial" w:cs="Arial"/>
                <w:sz w:val="18"/>
              </w:rPr>
              <w:t>202</w:t>
            </w:r>
            <w:r>
              <w:rPr>
                <w:rFonts w:ascii="Arial" w:hAnsi="Arial" w:cs="Arial"/>
                <w:sz w:val="18"/>
              </w:rPr>
              <w:t>5</w:t>
            </w:r>
          </w:p>
        </w:tc>
        <w:tc>
          <w:tcPr>
            <w:tcW w:w="846" w:type="dxa"/>
            <w:shd w:val="clear" w:color="auto" w:fill="17365D" w:themeFill="text2" w:themeFillShade="BF"/>
          </w:tcPr>
          <w:p w14:paraId="5CB155A3" w14:textId="767C2F30" w:rsidR="00F60945" w:rsidRDefault="00F60945" w:rsidP="00F6094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Q3 2025</w:t>
            </w:r>
          </w:p>
        </w:tc>
        <w:tc>
          <w:tcPr>
            <w:tcW w:w="847" w:type="dxa"/>
            <w:shd w:val="clear" w:color="auto" w:fill="17365D" w:themeFill="text2" w:themeFillShade="BF"/>
            <w:vAlign w:val="center"/>
            <w:hideMark/>
          </w:tcPr>
          <w:p w14:paraId="30C89D91" w14:textId="2811304D" w:rsidR="00F60945" w:rsidRPr="002E7AF4" w:rsidRDefault="00F60945" w:rsidP="00F6094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Nov</w:t>
            </w:r>
            <w:r w:rsidRPr="002E7AF4">
              <w:rPr>
                <w:rFonts w:ascii="Arial" w:hAnsi="Arial" w:cs="Arial"/>
                <w:sz w:val="18"/>
              </w:rPr>
              <w:br/>
              <w:t>202</w:t>
            </w:r>
            <w:r>
              <w:rPr>
                <w:rFonts w:ascii="Arial" w:hAnsi="Arial" w:cs="Arial"/>
                <w:sz w:val="18"/>
              </w:rPr>
              <w:t>5</w:t>
            </w:r>
          </w:p>
        </w:tc>
      </w:tr>
      <w:tr w:rsidR="00F60945" w:rsidRPr="00545B05" w14:paraId="3B495959" w14:textId="77777777" w:rsidTr="00F6094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24" w:type="dxa"/>
          </w:tcPr>
          <w:p w14:paraId="237F54DD" w14:textId="77777777" w:rsidR="00F60945" w:rsidRPr="002E7AF4" w:rsidRDefault="00F60945" w:rsidP="00F60945">
            <w:pPr>
              <w:pStyle w:val="NoSpacing"/>
              <w:jc w:val="center"/>
              <w:rPr>
                <w:rFonts w:ascii="Arial" w:hAnsi="Arial" w:cs="Arial"/>
                <w:sz w:val="18"/>
              </w:rPr>
            </w:pPr>
            <w:r w:rsidRPr="002E7AF4">
              <w:rPr>
                <w:rFonts w:ascii="Arial" w:hAnsi="Arial" w:cs="Arial"/>
                <w:sz w:val="18"/>
              </w:rPr>
              <w:t>PPU</w:t>
            </w:r>
          </w:p>
        </w:tc>
        <w:tc>
          <w:tcPr>
            <w:tcW w:w="846" w:type="dxa"/>
            <w:vAlign w:val="center"/>
          </w:tcPr>
          <w:p w14:paraId="66E75AEE" w14:textId="77777777" w:rsidR="00F60945" w:rsidRPr="002E7AF4" w:rsidRDefault="00F60945" w:rsidP="00F6094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$3.13</w:t>
            </w:r>
          </w:p>
        </w:tc>
        <w:tc>
          <w:tcPr>
            <w:tcW w:w="846" w:type="dxa"/>
            <w:vAlign w:val="center"/>
          </w:tcPr>
          <w:p w14:paraId="54984296" w14:textId="77777777" w:rsidR="00F60945" w:rsidRPr="002E7AF4" w:rsidRDefault="00F60945" w:rsidP="00F6094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$3.31</w:t>
            </w:r>
          </w:p>
        </w:tc>
        <w:tc>
          <w:tcPr>
            <w:tcW w:w="847" w:type="dxa"/>
            <w:vAlign w:val="center"/>
          </w:tcPr>
          <w:p w14:paraId="703F646F" w14:textId="77777777" w:rsidR="00F60945" w:rsidRPr="002E7AF4" w:rsidRDefault="00F60945" w:rsidP="00F6094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$3.49</w:t>
            </w:r>
          </w:p>
        </w:tc>
        <w:tc>
          <w:tcPr>
            <w:tcW w:w="846" w:type="dxa"/>
            <w:vAlign w:val="center"/>
          </w:tcPr>
          <w:p w14:paraId="4AFCDE66" w14:textId="77777777" w:rsidR="00F60945" w:rsidRPr="002E7AF4" w:rsidRDefault="00F60945" w:rsidP="00F6094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$3.93</w:t>
            </w:r>
          </w:p>
        </w:tc>
        <w:tc>
          <w:tcPr>
            <w:tcW w:w="847" w:type="dxa"/>
            <w:vAlign w:val="center"/>
          </w:tcPr>
          <w:p w14:paraId="61ECD46E" w14:textId="77777777" w:rsidR="00F60945" w:rsidRPr="002E7AF4" w:rsidRDefault="00F60945" w:rsidP="00F6094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$4.17</w:t>
            </w:r>
          </w:p>
        </w:tc>
        <w:tc>
          <w:tcPr>
            <w:tcW w:w="846" w:type="dxa"/>
            <w:vAlign w:val="center"/>
          </w:tcPr>
          <w:p w14:paraId="559E76F2" w14:textId="77777777" w:rsidR="00F60945" w:rsidRPr="002E7AF4" w:rsidRDefault="00F60945" w:rsidP="00F6094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847" w:type="dxa"/>
            <w:vAlign w:val="center"/>
          </w:tcPr>
          <w:p w14:paraId="09674F4D" w14:textId="24B39F2F" w:rsidR="00F60945" w:rsidRPr="002E7AF4" w:rsidRDefault="00F60945" w:rsidP="00F6094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w:t>
            </w:r>
            <w:r>
              <w:rPr>
                <w:rFonts w:ascii="Arial" w:hAnsi="Arial" w:cs="Arial"/>
                <w:sz w:val="18"/>
              </w:rPr>
              <w:t>24</w:t>
            </w:r>
          </w:p>
        </w:tc>
        <w:tc>
          <w:tcPr>
            <w:tcW w:w="846" w:type="dxa"/>
            <w:vAlign w:val="center"/>
          </w:tcPr>
          <w:p w14:paraId="5B5A037B" w14:textId="7250BD53" w:rsidR="00F60945" w:rsidRPr="002E7AF4" w:rsidRDefault="00F60945" w:rsidP="00F6094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4.25</w:t>
            </w:r>
          </w:p>
        </w:tc>
        <w:tc>
          <w:tcPr>
            <w:tcW w:w="847" w:type="dxa"/>
          </w:tcPr>
          <w:p w14:paraId="27445C9A" w14:textId="19D16AA3" w:rsidR="00F60945" w:rsidRPr="002E7AF4" w:rsidRDefault="00F60945" w:rsidP="00F6094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$4.30</w:t>
            </w:r>
          </w:p>
        </w:tc>
        <w:tc>
          <w:tcPr>
            <w:tcW w:w="846" w:type="dxa"/>
            <w:vAlign w:val="center"/>
          </w:tcPr>
          <w:p w14:paraId="1ED58A9D" w14:textId="7553A0F5" w:rsidR="00F60945" w:rsidRPr="002E7AF4" w:rsidRDefault="00F60945" w:rsidP="00F6094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4.31</w:t>
            </w:r>
          </w:p>
        </w:tc>
        <w:tc>
          <w:tcPr>
            <w:tcW w:w="847" w:type="dxa"/>
            <w:vAlign w:val="center"/>
          </w:tcPr>
          <w:p w14:paraId="04A14E66" w14:textId="14EC6DE9" w:rsidR="00F60945" w:rsidRPr="002E7AF4" w:rsidRDefault="00F60945" w:rsidP="00F6094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4.25</w:t>
            </w:r>
          </w:p>
        </w:tc>
      </w:tr>
      <w:tr w:rsidR="00F60945" w:rsidRPr="00545B05" w14:paraId="0CE6A56B" w14:textId="77777777" w:rsidTr="00F60945">
        <w:trPr>
          <w:trHeight w:val="256"/>
        </w:trPr>
        <w:tc>
          <w:tcPr>
            <w:cnfStyle w:val="001000000000" w:firstRow="0" w:lastRow="0" w:firstColumn="1" w:lastColumn="0" w:oddVBand="0" w:evenVBand="0" w:oddHBand="0" w:evenHBand="0" w:firstRowFirstColumn="0" w:firstRowLastColumn="0" w:lastRowFirstColumn="0" w:lastRowLastColumn="0"/>
            <w:tcW w:w="1124" w:type="dxa"/>
            <w:hideMark/>
          </w:tcPr>
          <w:p w14:paraId="07F59150" w14:textId="6AF2EA35" w:rsidR="00F60945" w:rsidRPr="002E7AF4" w:rsidRDefault="00F60945" w:rsidP="00F60945">
            <w:pPr>
              <w:pStyle w:val="NoSpacing"/>
              <w:jc w:val="center"/>
              <w:rPr>
                <w:rFonts w:ascii="Arial" w:hAnsi="Arial" w:cs="Arial"/>
                <w:sz w:val="18"/>
              </w:rPr>
            </w:pPr>
            <w:r w:rsidRPr="002E7AF4">
              <w:rPr>
                <w:rFonts w:ascii="Arial" w:hAnsi="Arial" w:cs="Arial"/>
                <w:sz w:val="18"/>
              </w:rPr>
              <w:t>Change</w:t>
            </w:r>
          </w:p>
        </w:tc>
        <w:tc>
          <w:tcPr>
            <w:tcW w:w="846" w:type="dxa"/>
            <w:vAlign w:val="center"/>
            <w:hideMark/>
          </w:tcPr>
          <w:p w14:paraId="72D465B4" w14:textId="77777777" w:rsidR="00F60945" w:rsidRPr="002E7AF4" w:rsidRDefault="00F60945" w:rsidP="00F6094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w:t>
            </w:r>
          </w:p>
        </w:tc>
        <w:tc>
          <w:tcPr>
            <w:tcW w:w="846" w:type="dxa"/>
            <w:vAlign w:val="center"/>
            <w:hideMark/>
          </w:tcPr>
          <w:p w14:paraId="594E9AB5" w14:textId="77777777" w:rsidR="00F60945" w:rsidRPr="002E7AF4" w:rsidRDefault="00F60945" w:rsidP="00F6094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+5.7%</w:t>
            </w:r>
          </w:p>
        </w:tc>
        <w:tc>
          <w:tcPr>
            <w:tcW w:w="847" w:type="dxa"/>
            <w:vAlign w:val="center"/>
            <w:hideMark/>
          </w:tcPr>
          <w:p w14:paraId="3791F662" w14:textId="77777777" w:rsidR="00F60945" w:rsidRPr="002E7AF4" w:rsidRDefault="00F60945" w:rsidP="00F6094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+5.5%</w:t>
            </w:r>
          </w:p>
        </w:tc>
        <w:tc>
          <w:tcPr>
            <w:tcW w:w="846" w:type="dxa"/>
            <w:vAlign w:val="center"/>
            <w:hideMark/>
          </w:tcPr>
          <w:p w14:paraId="75A5E544" w14:textId="77777777" w:rsidR="00F60945" w:rsidRPr="002E7AF4" w:rsidRDefault="00F60945" w:rsidP="00F6094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+12.5%</w:t>
            </w:r>
          </w:p>
        </w:tc>
        <w:tc>
          <w:tcPr>
            <w:tcW w:w="847" w:type="dxa"/>
            <w:vAlign w:val="center"/>
            <w:hideMark/>
          </w:tcPr>
          <w:p w14:paraId="78594F78" w14:textId="77777777" w:rsidR="00F60945" w:rsidRPr="002E7AF4" w:rsidRDefault="00F60945" w:rsidP="00F6094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+6.1%</w:t>
            </w:r>
          </w:p>
        </w:tc>
        <w:tc>
          <w:tcPr>
            <w:tcW w:w="846" w:type="dxa"/>
            <w:vAlign w:val="center"/>
          </w:tcPr>
          <w:p w14:paraId="154AB2D8" w14:textId="77777777" w:rsidR="00F60945" w:rsidRPr="002E7AF4" w:rsidRDefault="00F60945" w:rsidP="00F6094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+1.7%</w:t>
            </w:r>
          </w:p>
        </w:tc>
        <w:tc>
          <w:tcPr>
            <w:tcW w:w="847" w:type="dxa"/>
            <w:vAlign w:val="center"/>
          </w:tcPr>
          <w:p w14:paraId="59959D03" w14:textId="59039C68" w:rsidR="00F60945" w:rsidRPr="002E7AF4" w:rsidRDefault="00F60945" w:rsidP="00F6094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w:t>
            </w:r>
            <w:r>
              <w:rPr>
                <w:rFonts w:ascii="Arial" w:hAnsi="Arial" w:cs="Arial"/>
                <w:sz w:val="18"/>
              </w:rPr>
              <w:t>3</w:t>
            </w:r>
            <w:r w:rsidRPr="002E7AF4">
              <w:rPr>
                <w:rFonts w:ascii="Arial" w:hAnsi="Arial" w:cs="Arial"/>
                <w:sz w:val="18"/>
              </w:rPr>
              <w:t>%</w:t>
            </w:r>
          </w:p>
        </w:tc>
        <w:tc>
          <w:tcPr>
            <w:tcW w:w="846" w:type="dxa"/>
            <w:vAlign w:val="center"/>
          </w:tcPr>
          <w:p w14:paraId="5BB55A6C" w14:textId="22EB26C9" w:rsidR="00F60945" w:rsidRPr="002E7AF4" w:rsidRDefault="00F60945" w:rsidP="00F6094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3.2</w:t>
            </w:r>
            <w:r w:rsidRPr="002E7AF4">
              <w:rPr>
                <w:rFonts w:ascii="Arial" w:hAnsi="Arial" w:cs="Arial"/>
                <w:sz w:val="18"/>
              </w:rPr>
              <w:t>%</w:t>
            </w:r>
          </w:p>
        </w:tc>
        <w:tc>
          <w:tcPr>
            <w:tcW w:w="847" w:type="dxa"/>
            <w:hideMark/>
          </w:tcPr>
          <w:p w14:paraId="575AD55F" w14:textId="34F07527" w:rsidR="00F60945" w:rsidRPr="002E7AF4" w:rsidRDefault="00F60945" w:rsidP="00F6094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+2.7%</w:t>
            </w:r>
          </w:p>
        </w:tc>
        <w:tc>
          <w:tcPr>
            <w:tcW w:w="846" w:type="dxa"/>
            <w:vAlign w:val="center"/>
          </w:tcPr>
          <w:p w14:paraId="2BB5B0A6" w14:textId="1A22DD62" w:rsidR="00F60945" w:rsidRPr="002E7AF4" w:rsidRDefault="00F60945" w:rsidP="00F6094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3.0</w:t>
            </w:r>
            <w:r w:rsidRPr="002E7AF4">
              <w:rPr>
                <w:rFonts w:ascii="Arial" w:hAnsi="Arial" w:cs="Arial"/>
                <w:sz w:val="18"/>
              </w:rPr>
              <w:t>%</w:t>
            </w:r>
          </w:p>
        </w:tc>
        <w:tc>
          <w:tcPr>
            <w:tcW w:w="847" w:type="dxa"/>
            <w:vAlign w:val="center"/>
            <w:hideMark/>
          </w:tcPr>
          <w:p w14:paraId="52B88C2E" w14:textId="2C203736" w:rsidR="00F60945" w:rsidRPr="002E7AF4" w:rsidRDefault="00F60945" w:rsidP="00F6094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1.4</w:t>
            </w:r>
            <w:r w:rsidRPr="002E7AF4">
              <w:rPr>
                <w:rFonts w:ascii="Arial" w:hAnsi="Arial" w:cs="Arial"/>
                <w:sz w:val="18"/>
              </w:rPr>
              <w:t>%</w:t>
            </w:r>
          </w:p>
        </w:tc>
      </w:tr>
    </w:tbl>
    <w:p w14:paraId="0764B225" w14:textId="77777777" w:rsidR="008B7143" w:rsidRPr="00492C26" w:rsidRDefault="008B7143" w:rsidP="008B7143">
      <w:pPr>
        <w:pStyle w:val="NoSpacing"/>
        <w:rPr>
          <w:sz w:val="8"/>
          <w:szCs w:val="8"/>
        </w:rPr>
      </w:pPr>
    </w:p>
    <w:p w14:paraId="3D12F8BA" w14:textId="77777777" w:rsidR="008B7143" w:rsidRPr="00B7673F" w:rsidRDefault="008B7143" w:rsidP="008B7143">
      <w:pPr>
        <w:pStyle w:val="NoSpacing"/>
        <w:rPr>
          <w:rFonts w:ascii="Arial" w:hAnsi="Arial" w:cs="Arial"/>
          <w:color w:val="7F7F7F" w:themeColor="text1" w:themeTint="80"/>
          <w:sz w:val="16"/>
          <w:szCs w:val="16"/>
        </w:rPr>
      </w:pPr>
      <w:r w:rsidRPr="00B7673F">
        <w:rPr>
          <w:rFonts w:ascii="Arial" w:hAnsi="Arial" w:cs="Arial"/>
          <w:color w:val="7F7F7F" w:themeColor="text1" w:themeTint="80"/>
          <w:sz w:val="16"/>
          <w:szCs w:val="16"/>
        </w:rPr>
        <w:t xml:space="preserve">Source: </w:t>
      </w:r>
      <w:proofErr w:type="spellStart"/>
      <w:r w:rsidRPr="00B7673F">
        <w:rPr>
          <w:rFonts w:ascii="Arial" w:hAnsi="Arial" w:cs="Arial"/>
          <w:color w:val="7F7F7F" w:themeColor="text1" w:themeTint="80"/>
          <w:sz w:val="16"/>
          <w:szCs w:val="16"/>
        </w:rPr>
        <w:t>Circana</w:t>
      </w:r>
      <w:proofErr w:type="spellEnd"/>
      <w:r w:rsidRPr="00B7673F">
        <w:rPr>
          <w:rFonts w:ascii="Arial" w:hAnsi="Arial" w:cs="Arial"/>
          <w:color w:val="7F7F7F" w:themeColor="text1" w:themeTint="80"/>
          <w:sz w:val="16"/>
          <w:szCs w:val="16"/>
        </w:rPr>
        <w:t>, Integrated Fresh, Total U.S., MULO+</w:t>
      </w:r>
    </w:p>
    <w:p w14:paraId="4C8804B3" w14:textId="6D9F91C4" w:rsidR="00A357C9" w:rsidRPr="007A7F0E" w:rsidRDefault="00A357C9" w:rsidP="00CF02B0">
      <w:pPr>
        <w:spacing w:after="0" w:line="240" w:lineRule="auto"/>
        <w:rPr>
          <w:rFonts w:ascii="Arial" w:hAnsi="Arial" w:cs="Arial"/>
          <w:bCs/>
          <w:color w:val="000000" w:themeColor="text1"/>
          <w:sz w:val="16"/>
          <w:szCs w:val="16"/>
        </w:rPr>
      </w:pPr>
    </w:p>
    <w:p w14:paraId="367E2484" w14:textId="260FEDD5" w:rsidR="005F0766" w:rsidRPr="00F60945" w:rsidRDefault="00F60945" w:rsidP="00F60945">
      <w:pPr>
        <w:spacing w:after="0" w:line="240" w:lineRule="auto"/>
        <w:rPr>
          <w:sz w:val="10"/>
          <w:szCs w:val="10"/>
        </w:rPr>
      </w:pPr>
      <w:r>
        <w:rPr>
          <w:rFonts w:ascii="Arial" w:hAnsi="Arial" w:cs="Arial"/>
          <w:bCs/>
          <w:color w:val="000000" w:themeColor="text1"/>
          <w:sz w:val="20"/>
          <w:szCs w:val="20"/>
        </w:rPr>
        <w:t xml:space="preserve">Seafood prices rose across the board. The average prices across all species rose about $10 during November, though is still less than the 52-week average of $10.52. </w:t>
      </w:r>
      <w:r>
        <w:rPr>
          <w:rFonts w:ascii="Arial" w:hAnsi="Arial" w:cs="Arial"/>
          <w:bCs/>
          <w:color w:val="000000" w:themeColor="text1"/>
          <w:sz w:val="20"/>
          <w:szCs w:val="20"/>
        </w:rPr>
        <w:br/>
      </w:r>
    </w:p>
    <w:tbl>
      <w:tblPr>
        <w:tblStyle w:val="LightShading-Accent5"/>
        <w:tblW w:w="4952" w:type="pct"/>
        <w:tblBorders>
          <w:top w:val="none" w:sz="0" w:space="0" w:color="auto"/>
          <w:bottom w:val="none" w:sz="0" w:space="0" w:color="auto"/>
        </w:tblBorders>
        <w:tblLayout w:type="fixed"/>
        <w:tblLook w:val="04A0" w:firstRow="1" w:lastRow="0" w:firstColumn="1" w:lastColumn="0" w:noHBand="0" w:noVBand="1"/>
      </w:tblPr>
      <w:tblGrid>
        <w:gridCol w:w="2449"/>
        <w:gridCol w:w="1565"/>
        <w:gridCol w:w="990"/>
        <w:gridCol w:w="1354"/>
        <w:gridCol w:w="1472"/>
        <w:gridCol w:w="1082"/>
        <w:gridCol w:w="1617"/>
      </w:tblGrid>
      <w:tr w:rsidR="00F37F90" w:rsidRPr="00A90189" w14:paraId="1F81DBBF" w14:textId="77777777" w:rsidTr="00F60945">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63" w:type="pct"/>
            <w:tcBorders>
              <w:top w:val="none" w:sz="0" w:space="0" w:color="auto"/>
              <w:left w:val="none" w:sz="0" w:space="0" w:color="auto"/>
              <w:bottom w:val="none" w:sz="0" w:space="0" w:color="auto"/>
              <w:right w:val="none" w:sz="0" w:space="0" w:color="auto"/>
            </w:tcBorders>
            <w:shd w:val="clear" w:color="auto" w:fill="17365D" w:themeFill="text2" w:themeFillShade="BF"/>
          </w:tcPr>
          <w:p w14:paraId="258D03BC" w14:textId="15FD10ED" w:rsidR="007B6412" w:rsidRDefault="007B6412" w:rsidP="00F37F90">
            <w:pPr>
              <w:pStyle w:val="NoSpacing"/>
              <w:rPr>
                <w:rFonts w:ascii="Arial" w:hAnsi="Arial" w:cs="Arial"/>
                <w:color w:val="FFFFFF" w:themeColor="background1"/>
                <w:sz w:val="18"/>
                <w:szCs w:val="18"/>
              </w:rPr>
            </w:pPr>
          </w:p>
        </w:tc>
        <w:tc>
          <w:tcPr>
            <w:tcW w:w="1856"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Mar>
              <w:left w:w="115" w:type="dxa"/>
              <w:right w:w="115" w:type="dxa"/>
            </w:tcMar>
          </w:tcPr>
          <w:p w14:paraId="2DD4F9EC" w14:textId="41314FF7" w:rsidR="00F37F90" w:rsidRDefault="00F60945" w:rsidP="00F37F9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November </w:t>
            </w:r>
            <w:r w:rsidR="00CD7E54">
              <w:rPr>
                <w:rFonts w:ascii="Arial" w:hAnsi="Arial" w:cs="Arial"/>
                <w:color w:val="FFFFFF" w:themeColor="background1"/>
                <w:sz w:val="18"/>
                <w:szCs w:val="18"/>
              </w:rPr>
              <w:t>2025</w:t>
            </w:r>
          </w:p>
        </w:tc>
        <w:tc>
          <w:tcPr>
            <w:tcW w:w="1981"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5E84962B" w14:textId="76A63809" w:rsidR="00F37F90" w:rsidRPr="00A90189" w:rsidRDefault="0068426D" w:rsidP="000519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73287A" w:rsidRPr="009C0178" w14:paraId="4D370E4E" w14:textId="77777777" w:rsidTr="00F6094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163" w:type="pct"/>
            <w:shd w:val="clear" w:color="auto" w:fill="17365D" w:themeFill="text2" w:themeFillShade="BF"/>
          </w:tcPr>
          <w:p w14:paraId="53D7E5FC" w14:textId="77777777" w:rsidR="00F37F90" w:rsidRPr="009C0178" w:rsidRDefault="00F37F90" w:rsidP="00F37F90">
            <w:pPr>
              <w:pStyle w:val="NoSpacing"/>
              <w:rPr>
                <w:rFonts w:ascii="Arial" w:hAnsi="Arial" w:cs="Arial"/>
                <w:b w:val="0"/>
                <w:bCs w:val="0"/>
                <w:color w:val="FFFFFF" w:themeColor="background1"/>
                <w:sz w:val="18"/>
                <w:szCs w:val="18"/>
              </w:rPr>
            </w:pPr>
          </w:p>
        </w:tc>
        <w:tc>
          <w:tcPr>
            <w:tcW w:w="743" w:type="pct"/>
            <w:shd w:val="clear" w:color="auto" w:fill="17365D" w:themeFill="text2" w:themeFillShade="BF"/>
            <w:tcMar>
              <w:left w:w="115" w:type="dxa"/>
              <w:right w:w="115" w:type="dxa"/>
            </w:tcMar>
          </w:tcPr>
          <w:p w14:paraId="1C9EC5D9" w14:textId="7A6056D4"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F60945">
              <w:rPr>
                <w:rFonts w:ascii="Arial" w:hAnsi="Arial" w:cs="Arial"/>
                <w:b/>
                <w:bCs/>
                <w:color w:val="FFFFFF" w:themeColor="background1"/>
                <w:sz w:val="18"/>
                <w:szCs w:val="18"/>
              </w:rPr>
              <w:t xml:space="preserve">Average price per </w:t>
            </w:r>
            <w:r w:rsidR="001C710E" w:rsidRPr="00F60945">
              <w:rPr>
                <w:rFonts w:ascii="Arial" w:hAnsi="Arial" w:cs="Arial"/>
                <w:b/>
                <w:bCs/>
                <w:color w:val="FFFFFF" w:themeColor="background1"/>
                <w:sz w:val="18"/>
                <w:szCs w:val="18"/>
              </w:rPr>
              <w:t>pound</w:t>
            </w:r>
          </w:p>
        </w:tc>
        <w:tc>
          <w:tcPr>
            <w:tcW w:w="470" w:type="pct"/>
            <w:shd w:val="clear" w:color="auto" w:fill="17365D" w:themeFill="text2" w:themeFillShade="BF"/>
            <w:tcMar>
              <w:left w:w="115" w:type="dxa"/>
              <w:right w:w="115" w:type="dxa"/>
            </w:tcMar>
          </w:tcPr>
          <w:p w14:paraId="1218CC62" w14:textId="1564E19F"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Change vs. YA</w:t>
            </w:r>
          </w:p>
        </w:tc>
        <w:tc>
          <w:tcPr>
            <w:tcW w:w="643" w:type="pct"/>
            <w:shd w:val="clear" w:color="auto" w:fill="17365D" w:themeFill="text2" w:themeFillShade="BF"/>
            <w:tcMar>
              <w:left w:w="115" w:type="dxa"/>
              <w:right w:w="115" w:type="dxa"/>
            </w:tcMar>
          </w:tcPr>
          <w:p w14:paraId="5C658811" w14:textId="45BC3F5C"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 xml:space="preserve">Change vs. </w:t>
            </w:r>
            <w:r w:rsidR="000C00A0" w:rsidRPr="00F60945">
              <w:rPr>
                <w:rFonts w:ascii="Arial" w:hAnsi="Arial" w:cs="Arial"/>
                <w:b/>
                <w:bCs/>
                <w:color w:val="FFFFFF" w:themeColor="background1"/>
                <w:sz w:val="18"/>
                <w:szCs w:val="18"/>
              </w:rPr>
              <w:t>2</w:t>
            </w:r>
            <w:r w:rsidRPr="00F60945">
              <w:rPr>
                <w:rFonts w:ascii="Arial" w:hAnsi="Arial" w:cs="Arial"/>
                <w:b/>
                <w:bCs/>
                <w:color w:val="FFFFFF" w:themeColor="background1"/>
                <w:sz w:val="18"/>
                <w:szCs w:val="18"/>
              </w:rPr>
              <w:t>YA</w:t>
            </w:r>
          </w:p>
        </w:tc>
        <w:tc>
          <w:tcPr>
            <w:tcW w:w="699" w:type="pct"/>
            <w:shd w:val="clear" w:color="auto" w:fill="17365D" w:themeFill="text2" w:themeFillShade="BF"/>
          </w:tcPr>
          <w:p w14:paraId="3E21E46B" w14:textId="4374F2B0"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 xml:space="preserve">Average price per </w:t>
            </w:r>
            <w:r w:rsidR="001C710E" w:rsidRPr="00F60945">
              <w:rPr>
                <w:rFonts w:ascii="Arial" w:hAnsi="Arial" w:cs="Arial"/>
                <w:b/>
                <w:bCs/>
                <w:color w:val="FFFFFF" w:themeColor="background1"/>
                <w:sz w:val="18"/>
                <w:szCs w:val="18"/>
              </w:rPr>
              <w:t>pound</w:t>
            </w:r>
          </w:p>
        </w:tc>
        <w:tc>
          <w:tcPr>
            <w:tcW w:w="514" w:type="pct"/>
            <w:shd w:val="clear" w:color="auto" w:fill="17365D" w:themeFill="text2" w:themeFillShade="BF"/>
          </w:tcPr>
          <w:p w14:paraId="3544BA75" w14:textId="574FDBF9"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Change vs. YA</w:t>
            </w:r>
          </w:p>
        </w:tc>
        <w:tc>
          <w:tcPr>
            <w:tcW w:w="768" w:type="pct"/>
            <w:shd w:val="clear" w:color="auto" w:fill="17365D" w:themeFill="text2" w:themeFillShade="BF"/>
          </w:tcPr>
          <w:p w14:paraId="28B1EF53" w14:textId="472E675B"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 xml:space="preserve">Change </w:t>
            </w:r>
            <w:r w:rsidR="00B813E6" w:rsidRPr="00F60945">
              <w:rPr>
                <w:rFonts w:ascii="Arial" w:hAnsi="Arial" w:cs="Arial"/>
                <w:b/>
                <w:bCs/>
                <w:color w:val="FFFFFF" w:themeColor="background1"/>
                <w:sz w:val="18"/>
                <w:szCs w:val="18"/>
              </w:rPr>
              <w:br/>
            </w:r>
            <w:r w:rsidRPr="00F60945">
              <w:rPr>
                <w:rFonts w:ascii="Arial" w:hAnsi="Arial" w:cs="Arial"/>
                <w:b/>
                <w:bCs/>
                <w:color w:val="FFFFFF" w:themeColor="background1"/>
                <w:sz w:val="18"/>
                <w:szCs w:val="18"/>
              </w:rPr>
              <w:t xml:space="preserve">vs. </w:t>
            </w:r>
            <w:r w:rsidR="005C5842" w:rsidRPr="00F60945">
              <w:rPr>
                <w:rFonts w:ascii="Arial" w:hAnsi="Arial" w:cs="Arial"/>
                <w:b/>
                <w:bCs/>
                <w:color w:val="FFFFFF" w:themeColor="background1"/>
                <w:sz w:val="18"/>
                <w:szCs w:val="18"/>
              </w:rPr>
              <w:t>2</w:t>
            </w:r>
            <w:r w:rsidRPr="00F60945">
              <w:rPr>
                <w:rFonts w:ascii="Arial" w:hAnsi="Arial" w:cs="Arial"/>
                <w:b/>
                <w:bCs/>
                <w:color w:val="FFFFFF" w:themeColor="background1"/>
                <w:sz w:val="18"/>
                <w:szCs w:val="18"/>
              </w:rPr>
              <w:t>YA</w:t>
            </w:r>
          </w:p>
        </w:tc>
      </w:tr>
      <w:tr w:rsidR="00F60945" w:rsidRPr="009C0178" w14:paraId="2D585FCB" w14:textId="77777777" w:rsidTr="00F60945">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42CA74B" w14:textId="2650A1FC" w:rsidR="00F60945" w:rsidRPr="009C0178" w:rsidRDefault="00F60945" w:rsidP="00F60945">
            <w:pPr>
              <w:rPr>
                <w:rFonts w:ascii="Arial" w:eastAsia="Times New Roman" w:hAnsi="Arial" w:cs="Arial"/>
                <w:color w:val="000000" w:themeColor="text1"/>
                <w:sz w:val="18"/>
                <w:szCs w:val="18"/>
              </w:rPr>
            </w:pPr>
            <w:r w:rsidRPr="009C0178">
              <w:rPr>
                <w:rFonts w:ascii="Arial" w:eastAsia="Times New Roman" w:hAnsi="Arial" w:cs="Arial"/>
                <w:color w:val="000000" w:themeColor="text1"/>
                <w:sz w:val="18"/>
                <w:szCs w:val="18"/>
              </w:rPr>
              <w:t>Total fresh seafood</w:t>
            </w:r>
          </w:p>
        </w:tc>
        <w:tc>
          <w:tcPr>
            <w:tcW w:w="743" w:type="pct"/>
            <w:shd w:val="clear" w:color="auto" w:fill="FFFFFF" w:themeFill="background1"/>
            <w:tcMar>
              <w:left w:w="115" w:type="dxa"/>
              <w:right w:w="115" w:type="dxa"/>
            </w:tcMar>
            <w:vAlign w:val="bottom"/>
          </w:tcPr>
          <w:p w14:paraId="501AC3BC" w14:textId="772ACA53" w:rsidR="00F60945" w:rsidRPr="00F60945" w:rsidRDefault="00F60945" w:rsidP="00F609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sidRPr="00F60945">
              <w:rPr>
                <w:rFonts w:ascii="Arial" w:hAnsi="Arial" w:cs="Arial"/>
                <w:b/>
                <w:bCs/>
                <w:color w:val="000000"/>
                <w:sz w:val="18"/>
                <w:szCs w:val="18"/>
              </w:rPr>
              <w:t>$10.08</w:t>
            </w:r>
          </w:p>
        </w:tc>
        <w:tc>
          <w:tcPr>
            <w:tcW w:w="470" w:type="pct"/>
            <w:shd w:val="clear" w:color="auto" w:fill="FFFFFF" w:themeFill="background1"/>
            <w:tcMar>
              <w:left w:w="115" w:type="dxa"/>
              <w:right w:w="115" w:type="dxa"/>
            </w:tcMar>
            <w:vAlign w:val="bottom"/>
          </w:tcPr>
          <w:p w14:paraId="2DD3D4D2" w14:textId="0956EE14" w:rsidR="00F60945" w:rsidRPr="00F60945" w:rsidRDefault="00F60945" w:rsidP="00F609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Pr="00F60945">
              <w:rPr>
                <w:rFonts w:ascii="Arial" w:hAnsi="Arial" w:cs="Arial"/>
                <w:b/>
                <w:bCs/>
                <w:color w:val="000000"/>
                <w:sz w:val="18"/>
                <w:szCs w:val="18"/>
              </w:rPr>
              <w:t>4.1%</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329847BE" w14:textId="0D7CC3BF" w:rsidR="00F60945" w:rsidRPr="00F60945" w:rsidRDefault="00F60945" w:rsidP="00F609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Pr="00F60945">
              <w:rPr>
                <w:rFonts w:ascii="Arial" w:hAnsi="Arial" w:cs="Arial"/>
                <w:b/>
                <w:bCs/>
                <w:color w:val="000000"/>
                <w:sz w:val="18"/>
                <w:szCs w:val="18"/>
              </w:rPr>
              <w:t>5.0%</w:t>
            </w:r>
          </w:p>
        </w:tc>
        <w:tc>
          <w:tcPr>
            <w:tcW w:w="699" w:type="pct"/>
            <w:tcBorders>
              <w:left w:val="single" w:sz="4" w:space="0" w:color="31849B" w:themeColor="accent5" w:themeShade="BF"/>
            </w:tcBorders>
            <w:shd w:val="clear" w:color="auto" w:fill="FFFFFF" w:themeFill="background1"/>
            <w:vAlign w:val="bottom"/>
          </w:tcPr>
          <w:p w14:paraId="17051A7E" w14:textId="3125E739" w:rsidR="00F60945" w:rsidRPr="00F60945" w:rsidRDefault="00F60945" w:rsidP="00F6094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60945">
              <w:rPr>
                <w:rFonts w:ascii="Arial" w:hAnsi="Arial" w:cs="Arial"/>
                <w:b/>
                <w:bCs/>
                <w:color w:val="000000"/>
                <w:sz w:val="18"/>
                <w:szCs w:val="18"/>
              </w:rPr>
              <w:t>$10.52</w:t>
            </w:r>
          </w:p>
        </w:tc>
        <w:tc>
          <w:tcPr>
            <w:tcW w:w="514" w:type="pct"/>
            <w:shd w:val="clear" w:color="auto" w:fill="FFFFFF" w:themeFill="background1"/>
            <w:vAlign w:val="bottom"/>
          </w:tcPr>
          <w:p w14:paraId="39D61EC7" w14:textId="2C108806" w:rsidR="00F60945" w:rsidRPr="00F60945" w:rsidRDefault="00F60945" w:rsidP="00F6094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Pr="00F60945">
              <w:rPr>
                <w:rFonts w:ascii="Arial" w:hAnsi="Arial" w:cs="Arial"/>
                <w:b/>
                <w:bCs/>
                <w:color w:val="000000"/>
                <w:sz w:val="18"/>
                <w:szCs w:val="18"/>
              </w:rPr>
              <w:t>2.1%</w:t>
            </w:r>
          </w:p>
        </w:tc>
        <w:tc>
          <w:tcPr>
            <w:tcW w:w="768" w:type="pct"/>
            <w:shd w:val="clear" w:color="auto" w:fill="FFFFFF" w:themeFill="background1"/>
            <w:vAlign w:val="bottom"/>
          </w:tcPr>
          <w:p w14:paraId="66678B50" w14:textId="23DEDD21" w:rsidR="00F60945" w:rsidRPr="00F60945" w:rsidRDefault="00F60945" w:rsidP="00F6094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Pr="00F60945">
              <w:rPr>
                <w:rFonts w:ascii="Arial" w:hAnsi="Arial" w:cs="Arial"/>
                <w:b/>
                <w:bCs/>
                <w:color w:val="000000"/>
                <w:sz w:val="18"/>
                <w:szCs w:val="18"/>
              </w:rPr>
              <w:t>1.4%</w:t>
            </w:r>
          </w:p>
        </w:tc>
      </w:tr>
      <w:tr w:rsidR="00F60945" w:rsidRPr="001C710E" w14:paraId="3DD603CC" w14:textId="77777777" w:rsidTr="00F6094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325FBF85" w14:textId="35F61351" w:rsidR="00F60945" w:rsidRPr="009C0178" w:rsidRDefault="00F60945" w:rsidP="00F60945">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finfish</w:t>
            </w:r>
          </w:p>
        </w:tc>
        <w:tc>
          <w:tcPr>
            <w:tcW w:w="743" w:type="pct"/>
            <w:shd w:val="clear" w:color="auto" w:fill="D9D9D9" w:themeFill="background1" w:themeFillShade="D9"/>
            <w:tcMar>
              <w:left w:w="115" w:type="dxa"/>
              <w:right w:w="115" w:type="dxa"/>
            </w:tcMar>
            <w:vAlign w:val="bottom"/>
          </w:tcPr>
          <w:p w14:paraId="1E4323D1" w14:textId="69B9EF8C" w:rsidR="00F60945" w:rsidRPr="00F60945" w:rsidRDefault="00F60945" w:rsidP="00F609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F60945">
              <w:rPr>
                <w:rFonts w:ascii="Arial" w:hAnsi="Arial" w:cs="Arial"/>
                <w:color w:val="000000"/>
                <w:sz w:val="18"/>
                <w:szCs w:val="18"/>
              </w:rPr>
              <w:t>$10.61</w:t>
            </w:r>
          </w:p>
        </w:tc>
        <w:tc>
          <w:tcPr>
            <w:tcW w:w="470" w:type="pct"/>
            <w:shd w:val="clear" w:color="auto" w:fill="D9D9D9" w:themeFill="background1" w:themeFillShade="D9"/>
            <w:tcMar>
              <w:left w:w="115" w:type="dxa"/>
              <w:right w:w="115" w:type="dxa"/>
            </w:tcMar>
            <w:vAlign w:val="bottom"/>
          </w:tcPr>
          <w:p w14:paraId="10C1BBE1" w14:textId="66F83ACC" w:rsidR="00F60945" w:rsidRPr="00F60945" w:rsidRDefault="00F60945" w:rsidP="00F609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Pr="00F60945">
              <w:rPr>
                <w:rFonts w:ascii="Arial" w:hAnsi="Arial" w:cs="Arial"/>
                <w:color w:val="000000"/>
                <w:sz w:val="18"/>
                <w:szCs w:val="18"/>
              </w:rPr>
              <w:t>1.7%</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73516DFE" w14:textId="066E315C" w:rsidR="00F60945" w:rsidRPr="00F60945" w:rsidRDefault="00F60945" w:rsidP="00F609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Pr="00F60945">
              <w:rPr>
                <w:rFonts w:ascii="Arial" w:hAnsi="Arial" w:cs="Arial"/>
                <w:color w:val="000000"/>
                <w:sz w:val="18"/>
                <w:szCs w:val="18"/>
              </w:rPr>
              <w:t>1.7%</w:t>
            </w:r>
          </w:p>
        </w:tc>
        <w:tc>
          <w:tcPr>
            <w:tcW w:w="699" w:type="pct"/>
            <w:tcBorders>
              <w:left w:val="single" w:sz="4" w:space="0" w:color="31849B" w:themeColor="accent5" w:themeShade="BF"/>
            </w:tcBorders>
            <w:shd w:val="clear" w:color="auto" w:fill="D9D9D9" w:themeFill="background1" w:themeFillShade="D9"/>
            <w:vAlign w:val="bottom"/>
          </w:tcPr>
          <w:p w14:paraId="15F59F83" w14:textId="628A555C" w:rsidR="00F60945" w:rsidRPr="00F60945" w:rsidRDefault="00F60945"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60945">
              <w:rPr>
                <w:rFonts w:ascii="Arial" w:hAnsi="Arial" w:cs="Arial"/>
                <w:color w:val="000000"/>
                <w:sz w:val="18"/>
                <w:szCs w:val="18"/>
              </w:rPr>
              <w:t>$11.19</w:t>
            </w:r>
          </w:p>
        </w:tc>
        <w:tc>
          <w:tcPr>
            <w:tcW w:w="514" w:type="pct"/>
            <w:shd w:val="clear" w:color="auto" w:fill="D9D9D9" w:themeFill="background1" w:themeFillShade="D9"/>
            <w:vAlign w:val="bottom"/>
          </w:tcPr>
          <w:p w14:paraId="0AF53059" w14:textId="113F2540" w:rsidR="00F60945" w:rsidRPr="00F60945" w:rsidRDefault="00F60945"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F60945">
              <w:rPr>
                <w:rFonts w:ascii="Arial" w:hAnsi="Arial" w:cs="Arial"/>
                <w:color w:val="000000"/>
                <w:sz w:val="18"/>
                <w:szCs w:val="18"/>
              </w:rPr>
              <w:t>1.3%</w:t>
            </w:r>
          </w:p>
        </w:tc>
        <w:tc>
          <w:tcPr>
            <w:tcW w:w="768" w:type="pct"/>
            <w:shd w:val="clear" w:color="auto" w:fill="D9D9D9" w:themeFill="background1" w:themeFillShade="D9"/>
            <w:vAlign w:val="bottom"/>
          </w:tcPr>
          <w:p w14:paraId="7B4C6BF1" w14:textId="37D60219" w:rsidR="00F60945" w:rsidRPr="00F60945" w:rsidRDefault="00F60945"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F60945">
              <w:rPr>
                <w:rFonts w:ascii="Arial" w:hAnsi="Arial" w:cs="Arial"/>
                <w:color w:val="000000"/>
                <w:sz w:val="18"/>
                <w:szCs w:val="18"/>
              </w:rPr>
              <w:t>0.1%</w:t>
            </w:r>
          </w:p>
        </w:tc>
      </w:tr>
      <w:tr w:rsidR="00F60945" w:rsidRPr="001C710E" w14:paraId="5A269FB9" w14:textId="77777777" w:rsidTr="00F60945">
        <w:trPr>
          <w:trHeight w:val="220"/>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65C7DB4" w14:textId="5F5F5D19" w:rsidR="00F60945" w:rsidRPr="009C0178" w:rsidRDefault="00F60945" w:rsidP="00F60945">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shellfish</w:t>
            </w:r>
          </w:p>
        </w:tc>
        <w:tc>
          <w:tcPr>
            <w:tcW w:w="743" w:type="pct"/>
            <w:tcMar>
              <w:left w:w="115" w:type="dxa"/>
              <w:right w:w="115" w:type="dxa"/>
            </w:tcMar>
            <w:vAlign w:val="bottom"/>
          </w:tcPr>
          <w:p w14:paraId="354F3F01" w14:textId="62531D47" w:rsidR="00F60945" w:rsidRPr="00F60945" w:rsidRDefault="00F60945" w:rsidP="00F609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60945">
              <w:rPr>
                <w:rFonts w:ascii="Arial" w:hAnsi="Arial" w:cs="Arial"/>
                <w:color w:val="000000"/>
                <w:sz w:val="18"/>
                <w:szCs w:val="18"/>
              </w:rPr>
              <w:t>$9.77</w:t>
            </w:r>
          </w:p>
        </w:tc>
        <w:tc>
          <w:tcPr>
            <w:tcW w:w="470" w:type="pct"/>
            <w:tcMar>
              <w:left w:w="115" w:type="dxa"/>
              <w:right w:w="115" w:type="dxa"/>
            </w:tcMar>
            <w:vAlign w:val="bottom"/>
          </w:tcPr>
          <w:p w14:paraId="3C30D052" w14:textId="5BF49387" w:rsidR="00F60945" w:rsidRPr="00F60945" w:rsidRDefault="00F60945" w:rsidP="00F609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F60945">
              <w:rPr>
                <w:rFonts w:ascii="Arial" w:hAnsi="Arial" w:cs="Arial"/>
                <w:color w:val="000000"/>
                <w:sz w:val="18"/>
                <w:szCs w:val="18"/>
              </w:rPr>
              <w:t>8.4%</w:t>
            </w:r>
          </w:p>
        </w:tc>
        <w:tc>
          <w:tcPr>
            <w:tcW w:w="643" w:type="pct"/>
            <w:tcBorders>
              <w:right w:val="single" w:sz="4" w:space="0" w:color="31849B" w:themeColor="accent5" w:themeShade="BF"/>
            </w:tcBorders>
            <w:tcMar>
              <w:left w:w="115" w:type="dxa"/>
              <w:right w:w="115" w:type="dxa"/>
            </w:tcMar>
            <w:vAlign w:val="bottom"/>
          </w:tcPr>
          <w:p w14:paraId="37B4B427" w14:textId="4C684806" w:rsidR="00F60945" w:rsidRPr="00F60945" w:rsidRDefault="00F60945" w:rsidP="00F609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Pr="00F60945">
              <w:rPr>
                <w:rFonts w:ascii="Arial" w:hAnsi="Arial" w:cs="Arial"/>
                <w:color w:val="000000"/>
                <w:sz w:val="18"/>
                <w:szCs w:val="18"/>
              </w:rPr>
              <w:t>12.1%</w:t>
            </w:r>
          </w:p>
        </w:tc>
        <w:tc>
          <w:tcPr>
            <w:tcW w:w="699" w:type="pct"/>
            <w:tcBorders>
              <w:left w:val="single" w:sz="4" w:space="0" w:color="31849B" w:themeColor="accent5" w:themeShade="BF"/>
            </w:tcBorders>
            <w:vAlign w:val="bottom"/>
          </w:tcPr>
          <w:p w14:paraId="2A701842" w14:textId="21724AEF" w:rsidR="00F60945" w:rsidRPr="00F60945" w:rsidRDefault="00F60945" w:rsidP="00F609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60945">
              <w:rPr>
                <w:rFonts w:ascii="Arial" w:hAnsi="Arial" w:cs="Arial"/>
                <w:color w:val="000000"/>
                <w:sz w:val="18"/>
                <w:szCs w:val="18"/>
              </w:rPr>
              <w:t>$10.80</w:t>
            </w:r>
          </w:p>
        </w:tc>
        <w:tc>
          <w:tcPr>
            <w:tcW w:w="514" w:type="pct"/>
            <w:vAlign w:val="bottom"/>
          </w:tcPr>
          <w:p w14:paraId="295F5885" w14:textId="3E84BE46" w:rsidR="00F60945" w:rsidRPr="00F60945" w:rsidRDefault="00F60945" w:rsidP="00F609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F60945">
              <w:rPr>
                <w:rFonts w:ascii="Arial" w:hAnsi="Arial" w:cs="Arial"/>
                <w:color w:val="000000"/>
                <w:sz w:val="18"/>
                <w:szCs w:val="18"/>
              </w:rPr>
              <w:t>4.5%</w:t>
            </w:r>
          </w:p>
        </w:tc>
        <w:tc>
          <w:tcPr>
            <w:tcW w:w="768" w:type="pct"/>
            <w:vAlign w:val="bottom"/>
          </w:tcPr>
          <w:p w14:paraId="49D3B72A" w14:textId="281B3B05" w:rsidR="00F60945" w:rsidRPr="00F60945" w:rsidRDefault="00F60945" w:rsidP="00F609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F60945">
              <w:rPr>
                <w:rFonts w:ascii="Arial" w:hAnsi="Arial" w:cs="Arial"/>
                <w:color w:val="000000"/>
                <w:sz w:val="18"/>
                <w:szCs w:val="18"/>
              </w:rPr>
              <w:t>4.3%</w:t>
            </w:r>
          </w:p>
        </w:tc>
      </w:tr>
      <w:tr w:rsidR="00F60945" w:rsidRPr="009C0178" w14:paraId="6D4B0F28" w14:textId="77777777" w:rsidTr="00F6094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16CA5167" w14:textId="169D8663" w:rsidR="00F60945" w:rsidRPr="00D5653C" w:rsidRDefault="00F60945" w:rsidP="00F60945">
            <w:pPr>
              <w:rPr>
                <w:rFonts w:ascii="Arial" w:eastAsia="Times New Roman" w:hAnsi="Arial" w:cs="Arial"/>
                <w:color w:val="000000" w:themeColor="text1"/>
                <w:sz w:val="18"/>
                <w:szCs w:val="18"/>
              </w:rPr>
            </w:pPr>
            <w:r w:rsidRPr="00D5653C">
              <w:rPr>
                <w:rFonts w:ascii="Arial" w:eastAsia="Times New Roman" w:hAnsi="Arial" w:cs="Arial"/>
                <w:color w:val="000000" w:themeColor="text1"/>
                <w:sz w:val="18"/>
                <w:szCs w:val="18"/>
              </w:rPr>
              <w:t>Total frozen seafood</w:t>
            </w:r>
          </w:p>
        </w:tc>
        <w:tc>
          <w:tcPr>
            <w:tcW w:w="743" w:type="pct"/>
            <w:shd w:val="clear" w:color="auto" w:fill="D9D9D9" w:themeFill="background1" w:themeFillShade="D9"/>
            <w:tcMar>
              <w:left w:w="115" w:type="dxa"/>
              <w:right w:w="115" w:type="dxa"/>
            </w:tcMar>
            <w:vAlign w:val="bottom"/>
          </w:tcPr>
          <w:p w14:paraId="6AA1A40C" w14:textId="60BFB9AB" w:rsidR="00F60945" w:rsidRPr="00F60945" w:rsidRDefault="00F60945"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F60945">
              <w:rPr>
                <w:rFonts w:ascii="Arial" w:hAnsi="Arial" w:cs="Arial"/>
                <w:b/>
                <w:bCs/>
                <w:color w:val="000000"/>
                <w:sz w:val="18"/>
                <w:szCs w:val="18"/>
              </w:rPr>
              <w:t>$7.94</w:t>
            </w:r>
          </w:p>
        </w:tc>
        <w:tc>
          <w:tcPr>
            <w:tcW w:w="470" w:type="pct"/>
            <w:shd w:val="clear" w:color="auto" w:fill="D9D9D9" w:themeFill="background1" w:themeFillShade="D9"/>
            <w:tcMar>
              <w:left w:w="115" w:type="dxa"/>
              <w:right w:w="115" w:type="dxa"/>
            </w:tcMar>
            <w:vAlign w:val="bottom"/>
          </w:tcPr>
          <w:p w14:paraId="561F5313" w14:textId="50CC7FB4" w:rsidR="00F60945" w:rsidRPr="00F60945" w:rsidRDefault="00F60945"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Pr="00F60945">
              <w:rPr>
                <w:rFonts w:ascii="Arial" w:hAnsi="Arial" w:cs="Arial"/>
                <w:b/>
                <w:bCs/>
                <w:color w:val="000000"/>
                <w:sz w:val="18"/>
                <w:szCs w:val="18"/>
              </w:rPr>
              <w:t>7.0%</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0AC2DD44" w14:textId="579FF175" w:rsidR="00F60945" w:rsidRPr="00F60945" w:rsidRDefault="00F60945" w:rsidP="00F609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Pr="00F60945">
              <w:rPr>
                <w:rFonts w:ascii="Arial" w:hAnsi="Arial" w:cs="Arial"/>
                <w:b/>
                <w:bCs/>
                <w:color w:val="000000"/>
                <w:sz w:val="18"/>
                <w:szCs w:val="18"/>
              </w:rPr>
              <w:t>5.6%</w:t>
            </w:r>
          </w:p>
        </w:tc>
        <w:tc>
          <w:tcPr>
            <w:tcW w:w="699" w:type="pct"/>
            <w:tcBorders>
              <w:left w:val="single" w:sz="4" w:space="0" w:color="31849B" w:themeColor="accent5" w:themeShade="BF"/>
            </w:tcBorders>
            <w:shd w:val="clear" w:color="auto" w:fill="D9D9D9" w:themeFill="background1" w:themeFillShade="D9"/>
            <w:vAlign w:val="bottom"/>
          </w:tcPr>
          <w:p w14:paraId="70AF399D" w14:textId="3544B951" w:rsidR="00F60945" w:rsidRPr="00F60945" w:rsidRDefault="00F60945"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F60945">
              <w:rPr>
                <w:rFonts w:ascii="Arial" w:hAnsi="Arial" w:cs="Arial"/>
                <w:b/>
                <w:bCs/>
                <w:color w:val="000000"/>
                <w:sz w:val="18"/>
                <w:szCs w:val="18"/>
              </w:rPr>
              <w:t>$10.51</w:t>
            </w:r>
          </w:p>
        </w:tc>
        <w:tc>
          <w:tcPr>
            <w:tcW w:w="514" w:type="pct"/>
            <w:shd w:val="clear" w:color="auto" w:fill="D9D9D9" w:themeFill="background1" w:themeFillShade="D9"/>
            <w:vAlign w:val="bottom"/>
          </w:tcPr>
          <w:p w14:paraId="0D4239EB" w14:textId="05845BD9" w:rsidR="00F60945" w:rsidRPr="00F60945" w:rsidRDefault="00F60945"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Pr="00F60945">
              <w:rPr>
                <w:rFonts w:ascii="Arial" w:hAnsi="Arial" w:cs="Arial"/>
                <w:b/>
                <w:bCs/>
                <w:color w:val="000000"/>
                <w:sz w:val="18"/>
                <w:szCs w:val="18"/>
              </w:rPr>
              <w:t>2.4%</w:t>
            </w:r>
          </w:p>
        </w:tc>
        <w:tc>
          <w:tcPr>
            <w:tcW w:w="768" w:type="pct"/>
            <w:shd w:val="clear" w:color="auto" w:fill="D9D9D9" w:themeFill="background1" w:themeFillShade="D9"/>
            <w:vAlign w:val="bottom"/>
          </w:tcPr>
          <w:p w14:paraId="40B4A5D7" w14:textId="066B367D" w:rsidR="00F60945" w:rsidRPr="00F60945" w:rsidRDefault="00F60945"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F60945">
              <w:rPr>
                <w:rFonts w:ascii="Arial" w:hAnsi="Arial" w:cs="Arial"/>
                <w:b/>
                <w:bCs/>
                <w:color w:val="000000"/>
                <w:sz w:val="18"/>
                <w:szCs w:val="18"/>
              </w:rPr>
              <w:t>-2.1%</w:t>
            </w:r>
          </w:p>
        </w:tc>
      </w:tr>
      <w:tr w:rsidR="00F60945" w:rsidRPr="009C0178" w14:paraId="0A8B314F" w14:textId="77777777" w:rsidTr="00F60945">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FD024F4" w14:textId="16DE6BA3" w:rsidR="00F60945" w:rsidRPr="000A3117" w:rsidRDefault="00F60945" w:rsidP="00F60945">
            <w:pPr>
              <w:rPr>
                <w:rFonts w:ascii="Arial" w:eastAsia="Times New Roman" w:hAnsi="Arial" w:cs="Arial"/>
                <w:color w:val="000000" w:themeColor="text1"/>
                <w:sz w:val="18"/>
                <w:szCs w:val="18"/>
                <w:highlight w:val="yellow"/>
              </w:rPr>
            </w:pPr>
            <w:r w:rsidRPr="006D6580">
              <w:rPr>
                <w:rFonts w:ascii="Arial" w:eastAsia="Times New Roman" w:hAnsi="Arial" w:cs="Arial"/>
                <w:color w:val="000000" w:themeColor="text1"/>
                <w:sz w:val="18"/>
                <w:szCs w:val="18"/>
              </w:rPr>
              <w:t>Shelf-stable seafood</w:t>
            </w:r>
          </w:p>
        </w:tc>
        <w:tc>
          <w:tcPr>
            <w:tcW w:w="743" w:type="pct"/>
            <w:shd w:val="clear" w:color="auto" w:fill="FFFFFF" w:themeFill="background1"/>
            <w:tcMar>
              <w:left w:w="115" w:type="dxa"/>
              <w:right w:w="115" w:type="dxa"/>
            </w:tcMar>
            <w:vAlign w:val="bottom"/>
          </w:tcPr>
          <w:p w14:paraId="4F268D8A" w14:textId="0424A149" w:rsidR="00F60945" w:rsidRPr="00F60945" w:rsidRDefault="00F60945" w:rsidP="00F6094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60945">
              <w:rPr>
                <w:rFonts w:ascii="Arial" w:hAnsi="Arial" w:cs="Arial"/>
                <w:b/>
                <w:bCs/>
                <w:color w:val="000000"/>
                <w:sz w:val="18"/>
                <w:szCs w:val="18"/>
              </w:rPr>
              <w:t>$5.51</w:t>
            </w:r>
          </w:p>
        </w:tc>
        <w:tc>
          <w:tcPr>
            <w:tcW w:w="470" w:type="pct"/>
            <w:shd w:val="clear" w:color="auto" w:fill="FFFFFF" w:themeFill="background1"/>
            <w:tcMar>
              <w:left w:w="115" w:type="dxa"/>
              <w:right w:w="115" w:type="dxa"/>
            </w:tcMar>
            <w:vAlign w:val="bottom"/>
          </w:tcPr>
          <w:p w14:paraId="1510CC5D" w14:textId="504BF82D" w:rsidR="00F60945" w:rsidRPr="00F60945" w:rsidRDefault="00F60945" w:rsidP="00F6094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Pr="00F60945">
              <w:rPr>
                <w:rFonts w:ascii="Arial" w:hAnsi="Arial" w:cs="Arial"/>
                <w:b/>
                <w:bCs/>
                <w:color w:val="000000"/>
                <w:sz w:val="18"/>
                <w:szCs w:val="18"/>
              </w:rPr>
              <w:t>5.2%</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407CCE79" w14:textId="2DFF0932" w:rsidR="00F60945" w:rsidRPr="00F60945" w:rsidRDefault="00F60945" w:rsidP="00F6094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Pr="00F60945">
              <w:rPr>
                <w:rFonts w:ascii="Arial" w:hAnsi="Arial" w:cs="Arial"/>
                <w:b/>
                <w:bCs/>
                <w:color w:val="000000"/>
                <w:sz w:val="18"/>
                <w:szCs w:val="18"/>
              </w:rPr>
              <w:t>1.6%</w:t>
            </w:r>
          </w:p>
        </w:tc>
        <w:tc>
          <w:tcPr>
            <w:tcW w:w="699" w:type="pct"/>
            <w:tcBorders>
              <w:left w:val="single" w:sz="4" w:space="0" w:color="31849B" w:themeColor="accent5" w:themeShade="BF"/>
            </w:tcBorders>
            <w:shd w:val="clear" w:color="auto" w:fill="FFFFFF" w:themeFill="background1"/>
            <w:vAlign w:val="bottom"/>
          </w:tcPr>
          <w:p w14:paraId="0F09C4C3" w14:textId="1CD09CEE" w:rsidR="00F60945" w:rsidRPr="00F60945" w:rsidRDefault="00F60945" w:rsidP="00F6094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60945">
              <w:rPr>
                <w:rFonts w:ascii="Arial" w:hAnsi="Arial" w:cs="Arial"/>
                <w:b/>
                <w:bCs/>
                <w:color w:val="000000"/>
                <w:sz w:val="18"/>
                <w:szCs w:val="18"/>
              </w:rPr>
              <w:t>$2.32</w:t>
            </w:r>
          </w:p>
        </w:tc>
        <w:tc>
          <w:tcPr>
            <w:tcW w:w="514" w:type="pct"/>
            <w:shd w:val="clear" w:color="auto" w:fill="FFFFFF" w:themeFill="background1"/>
            <w:vAlign w:val="bottom"/>
          </w:tcPr>
          <w:p w14:paraId="04CE274A" w14:textId="41C45432" w:rsidR="00F60945" w:rsidRPr="00F60945" w:rsidRDefault="00F60945" w:rsidP="00F6094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Pr="00F60945">
              <w:rPr>
                <w:rFonts w:ascii="Arial" w:hAnsi="Arial" w:cs="Arial"/>
                <w:b/>
                <w:bCs/>
                <w:color w:val="000000"/>
                <w:sz w:val="18"/>
                <w:szCs w:val="18"/>
              </w:rPr>
              <w:t>0.6%</w:t>
            </w:r>
          </w:p>
        </w:tc>
        <w:tc>
          <w:tcPr>
            <w:tcW w:w="768" w:type="pct"/>
            <w:shd w:val="clear" w:color="auto" w:fill="FFFFFF" w:themeFill="background1"/>
            <w:vAlign w:val="bottom"/>
          </w:tcPr>
          <w:p w14:paraId="73C5E911" w14:textId="37B402A9" w:rsidR="00F60945" w:rsidRPr="00F60945" w:rsidRDefault="00F60945" w:rsidP="00F6094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Pr="00F60945">
              <w:rPr>
                <w:rFonts w:ascii="Arial" w:hAnsi="Arial" w:cs="Arial"/>
                <w:b/>
                <w:bCs/>
                <w:color w:val="000000"/>
                <w:sz w:val="18"/>
                <w:szCs w:val="18"/>
              </w:rPr>
              <w:t>0.0%</w:t>
            </w:r>
          </w:p>
        </w:tc>
      </w:tr>
    </w:tbl>
    <w:p w14:paraId="44C0F1C8" w14:textId="770A8E11" w:rsidR="00FC4C8F" w:rsidRDefault="00544D35" w:rsidP="00A357C9">
      <w:pPr>
        <w:pStyle w:val="NoSpacing"/>
        <w:rPr>
          <w:rFonts w:ascii="Arial" w:hAnsi="Arial" w:cs="Arial"/>
          <w:color w:val="7F7F7F" w:themeColor="text1" w:themeTint="80"/>
          <w:sz w:val="16"/>
          <w:szCs w:val="16"/>
        </w:rPr>
      </w:pPr>
      <w:r w:rsidRPr="002327AA">
        <w:rPr>
          <w:rFonts w:ascii="Arial" w:hAnsi="Arial" w:cs="Arial"/>
          <w:color w:val="7F7F7F" w:themeColor="text1" w:themeTint="80"/>
          <w:sz w:val="16"/>
          <w:szCs w:val="16"/>
        </w:rPr>
        <w:t xml:space="preserve">Source: </w:t>
      </w:r>
      <w:proofErr w:type="spellStart"/>
      <w:r w:rsidR="007A44BE" w:rsidRPr="002327AA">
        <w:rPr>
          <w:rFonts w:ascii="Arial" w:hAnsi="Arial" w:cs="Arial"/>
          <w:color w:val="7F7F7F" w:themeColor="text1" w:themeTint="80"/>
          <w:sz w:val="16"/>
          <w:szCs w:val="16"/>
        </w:rPr>
        <w:t>Circana</w:t>
      </w:r>
      <w:proofErr w:type="spellEnd"/>
      <w:r w:rsidRPr="002327AA">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r w:rsidRPr="002327AA">
        <w:rPr>
          <w:rFonts w:ascii="Arial" w:hAnsi="Arial" w:cs="Arial"/>
          <w:color w:val="7F7F7F" w:themeColor="text1" w:themeTint="80"/>
          <w:sz w:val="16"/>
          <w:szCs w:val="16"/>
        </w:rPr>
        <w:t xml:space="preserve"> (not shown: other items in the seafood department)</w:t>
      </w:r>
    </w:p>
    <w:p w14:paraId="59F9EE1B" w14:textId="77777777" w:rsidR="00A357C9" w:rsidRPr="00A357C9" w:rsidRDefault="00A357C9" w:rsidP="00A357C9">
      <w:pPr>
        <w:pStyle w:val="NoSpacing"/>
        <w:rPr>
          <w:rFonts w:ascii="Arial" w:hAnsi="Arial" w:cs="Arial"/>
          <w:color w:val="7F7F7F" w:themeColor="text1" w:themeTint="80"/>
          <w:sz w:val="16"/>
          <w:szCs w:val="16"/>
        </w:rPr>
      </w:pPr>
    </w:p>
    <w:p w14:paraId="6CF1F715" w14:textId="77777777" w:rsidR="001255CA" w:rsidRDefault="001255CA" w:rsidP="00544D35">
      <w:pPr>
        <w:pStyle w:val="NoSpacing"/>
        <w:rPr>
          <w:rFonts w:ascii="Arial" w:hAnsi="Arial" w:cs="Arial"/>
          <w:sz w:val="20"/>
          <w:szCs w:val="20"/>
        </w:rPr>
      </w:pPr>
    </w:p>
    <w:tbl>
      <w:tblPr>
        <w:tblStyle w:val="LightShading-Accent5"/>
        <w:tblpPr w:leftFromText="180" w:rightFromText="180" w:vertAnchor="text" w:tblpXSpec="right" w:tblpY="1"/>
        <w:tblOverlap w:val="never"/>
        <w:tblW w:w="3105" w:type="pct"/>
        <w:jc w:val="right"/>
        <w:tblBorders>
          <w:top w:val="none" w:sz="0" w:space="0" w:color="auto"/>
          <w:bottom w:val="none" w:sz="0" w:space="0" w:color="auto"/>
        </w:tblBorders>
        <w:tblLayout w:type="fixed"/>
        <w:tblLook w:val="04A0" w:firstRow="1" w:lastRow="0" w:firstColumn="1" w:lastColumn="0" w:noHBand="0" w:noVBand="1"/>
      </w:tblPr>
      <w:tblGrid>
        <w:gridCol w:w="2811"/>
        <w:gridCol w:w="1554"/>
        <w:gridCol w:w="1075"/>
        <w:gridCol w:w="1162"/>
      </w:tblGrid>
      <w:tr w:rsidR="001255CA" w:rsidRPr="00DA3DDE" w14:paraId="7987360B" w14:textId="77777777" w:rsidTr="00B66A2B">
        <w:trPr>
          <w:cnfStyle w:val="100000000000" w:firstRow="1" w:lastRow="0" w:firstColumn="0" w:lastColumn="0" w:oddVBand="0" w:evenVBand="0" w:oddHBand="0" w:evenHBand="0" w:firstRowFirstColumn="0" w:firstRowLastColumn="0" w:lastRowFirstColumn="0" w:lastRowLastColumn="0"/>
          <w:trHeight w:val="339"/>
          <w:jc w:val="right"/>
        </w:trPr>
        <w:tc>
          <w:tcPr>
            <w:cnfStyle w:val="001000000000" w:firstRow="0" w:lastRow="0" w:firstColumn="1" w:lastColumn="0" w:oddVBand="0" w:evenVBand="0" w:oddHBand="0" w:evenHBand="0" w:firstRowFirstColumn="0" w:firstRowLastColumn="0" w:lastRowFirstColumn="0" w:lastRowLastColumn="0"/>
            <w:tcW w:w="2129" w:type="pct"/>
            <w:tcBorders>
              <w:top w:val="none" w:sz="0" w:space="0" w:color="auto"/>
              <w:bottom w:val="none" w:sz="0" w:space="0" w:color="auto"/>
            </w:tcBorders>
            <w:shd w:val="clear" w:color="auto" w:fill="17365D" w:themeFill="text2" w:themeFillShade="BF"/>
          </w:tcPr>
          <w:p w14:paraId="2E58E219" w14:textId="77777777" w:rsidR="001255CA" w:rsidRDefault="001255CA" w:rsidP="009F1921">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Price per pound </w:t>
            </w:r>
          </w:p>
          <w:p w14:paraId="22E6963A" w14:textId="4CDBDAF6" w:rsidR="001255CA" w:rsidRPr="00DA3DDE" w:rsidRDefault="00E35BCC" w:rsidP="009F1921">
            <w:pPr>
              <w:pStyle w:val="NoSpacing"/>
              <w:rPr>
                <w:rFonts w:ascii="Arial" w:hAnsi="Arial" w:cs="Arial"/>
                <w:color w:val="FFFFFF" w:themeColor="background1"/>
                <w:sz w:val="18"/>
                <w:szCs w:val="18"/>
              </w:rPr>
            </w:pPr>
            <w:r>
              <w:rPr>
                <w:rFonts w:ascii="Arial" w:hAnsi="Arial" w:cs="Arial"/>
                <w:color w:val="FFFFFF" w:themeColor="background1"/>
                <w:sz w:val="18"/>
                <w:szCs w:val="18"/>
              </w:rPr>
              <w:t xml:space="preserve">November </w:t>
            </w:r>
            <w:r w:rsidR="00CD7E54">
              <w:rPr>
                <w:rFonts w:ascii="Arial" w:hAnsi="Arial" w:cs="Arial"/>
                <w:color w:val="FFFFFF" w:themeColor="background1"/>
                <w:sz w:val="18"/>
                <w:szCs w:val="18"/>
              </w:rPr>
              <w:t>2025</w:t>
            </w:r>
          </w:p>
        </w:tc>
        <w:tc>
          <w:tcPr>
            <w:tcW w:w="1177" w:type="pct"/>
            <w:tcBorders>
              <w:top w:val="none" w:sz="0" w:space="0" w:color="auto"/>
              <w:bottom w:val="none" w:sz="0" w:space="0" w:color="auto"/>
            </w:tcBorders>
            <w:shd w:val="clear" w:color="auto" w:fill="17365D" w:themeFill="text2" w:themeFillShade="BF"/>
            <w:tcMar>
              <w:left w:w="115" w:type="dxa"/>
              <w:right w:w="115" w:type="dxa"/>
            </w:tcMar>
          </w:tcPr>
          <w:p w14:paraId="031DEAF1" w14:textId="77777777" w:rsidR="001255CA" w:rsidRPr="00DA3DDE" w:rsidRDefault="001255CA" w:rsidP="009F1921">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4" w:type="pct"/>
            <w:tcBorders>
              <w:top w:val="none" w:sz="0" w:space="0" w:color="auto"/>
              <w:bottom w:val="none" w:sz="0" w:space="0" w:color="auto"/>
            </w:tcBorders>
            <w:shd w:val="clear" w:color="auto" w:fill="17365D" w:themeFill="text2" w:themeFillShade="BF"/>
            <w:tcMar>
              <w:left w:w="115" w:type="dxa"/>
              <w:right w:w="115" w:type="dxa"/>
            </w:tcMar>
          </w:tcPr>
          <w:p w14:paraId="2DCAD80C" w14:textId="77777777" w:rsidR="001255CA" w:rsidRPr="00DA3DDE" w:rsidRDefault="001255CA" w:rsidP="009F1921">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80" w:type="pct"/>
            <w:tcBorders>
              <w:top w:val="none" w:sz="0" w:space="0" w:color="auto"/>
              <w:bottom w:val="none" w:sz="0" w:space="0" w:color="auto"/>
            </w:tcBorders>
            <w:shd w:val="clear" w:color="auto" w:fill="17365D" w:themeFill="text2" w:themeFillShade="BF"/>
            <w:tcMar>
              <w:left w:w="115" w:type="dxa"/>
              <w:right w:w="115" w:type="dxa"/>
            </w:tcMar>
          </w:tcPr>
          <w:p w14:paraId="59CF1C8D" w14:textId="77777777" w:rsidR="001255CA" w:rsidRPr="00DA3DDE" w:rsidRDefault="001255CA" w:rsidP="009F1921">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C475B5" w:rsidRPr="001A7423" w14:paraId="5387C483" w14:textId="77777777" w:rsidTr="00FF6740">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5331489E" w14:textId="19D5CBC3" w:rsidR="00C475B5" w:rsidRPr="001C710E" w:rsidRDefault="00C475B5" w:rsidP="00C475B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salmon</w:t>
            </w:r>
          </w:p>
        </w:tc>
        <w:tc>
          <w:tcPr>
            <w:tcW w:w="1177" w:type="pct"/>
            <w:shd w:val="clear" w:color="auto" w:fill="FFFFFF" w:themeFill="background1"/>
            <w:tcMar>
              <w:left w:w="115" w:type="dxa"/>
              <w:right w:w="115" w:type="dxa"/>
            </w:tcMar>
            <w:vAlign w:val="bottom"/>
          </w:tcPr>
          <w:p w14:paraId="24BBC2B9" w14:textId="4A614E34" w:rsidR="00C475B5" w:rsidRPr="006A6F7C" w:rsidRDefault="00C475B5" w:rsidP="00C475B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6A6F7C">
              <w:rPr>
                <w:rFonts w:ascii="Arial" w:hAnsi="Arial" w:cs="Arial"/>
                <w:color w:val="000000"/>
                <w:sz w:val="18"/>
                <w:szCs w:val="18"/>
              </w:rPr>
              <w:t>$11.62</w:t>
            </w:r>
          </w:p>
        </w:tc>
        <w:tc>
          <w:tcPr>
            <w:tcW w:w="814" w:type="pct"/>
            <w:shd w:val="clear" w:color="auto" w:fill="FFFFFF" w:themeFill="background1"/>
            <w:tcMar>
              <w:left w:w="115" w:type="dxa"/>
              <w:right w:w="115" w:type="dxa"/>
            </w:tcMar>
            <w:vAlign w:val="bottom"/>
          </w:tcPr>
          <w:p w14:paraId="5229E735" w14:textId="73F0A797" w:rsidR="00C475B5" w:rsidRPr="006A6F7C" w:rsidRDefault="00C475B5" w:rsidP="00C475B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Pr="006A6F7C">
              <w:rPr>
                <w:rFonts w:ascii="Arial" w:hAnsi="Arial" w:cs="Arial"/>
                <w:color w:val="000000"/>
                <w:sz w:val="18"/>
                <w:szCs w:val="18"/>
              </w:rPr>
              <w:t>1.2%</w:t>
            </w:r>
          </w:p>
        </w:tc>
        <w:tc>
          <w:tcPr>
            <w:tcW w:w="880" w:type="pct"/>
            <w:shd w:val="clear" w:color="auto" w:fill="FFFFFF" w:themeFill="background1"/>
            <w:tcMar>
              <w:left w:w="115" w:type="dxa"/>
              <w:right w:w="115" w:type="dxa"/>
            </w:tcMar>
            <w:vAlign w:val="bottom"/>
          </w:tcPr>
          <w:p w14:paraId="2C97B858" w14:textId="0BA09E95" w:rsidR="00C475B5" w:rsidRPr="006A6F7C" w:rsidRDefault="00C475B5" w:rsidP="00C475B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Pr="006A6F7C">
              <w:rPr>
                <w:rFonts w:ascii="Arial" w:hAnsi="Arial" w:cs="Arial"/>
                <w:color w:val="000000"/>
                <w:sz w:val="18"/>
                <w:szCs w:val="18"/>
              </w:rPr>
              <w:t>2.4%</w:t>
            </w:r>
          </w:p>
        </w:tc>
      </w:tr>
      <w:tr w:rsidR="00C475B5" w:rsidRPr="001A7423" w14:paraId="717DD538" w14:textId="77777777" w:rsidTr="00FF6740">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1A8AA671" w14:textId="447E0464" w:rsidR="00C475B5" w:rsidRPr="001C710E" w:rsidRDefault="00C475B5" w:rsidP="00C475B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shrimp</w:t>
            </w:r>
          </w:p>
        </w:tc>
        <w:tc>
          <w:tcPr>
            <w:tcW w:w="1177" w:type="pct"/>
            <w:shd w:val="clear" w:color="auto" w:fill="D9D9D9" w:themeFill="background1" w:themeFillShade="D9"/>
            <w:tcMar>
              <w:left w:w="115" w:type="dxa"/>
              <w:right w:w="115" w:type="dxa"/>
            </w:tcMar>
            <w:vAlign w:val="bottom"/>
          </w:tcPr>
          <w:p w14:paraId="541FF027" w14:textId="61606AB9" w:rsidR="00C475B5" w:rsidRPr="006A6F7C" w:rsidRDefault="00C475B5" w:rsidP="00C475B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6A6F7C">
              <w:rPr>
                <w:rFonts w:ascii="Arial" w:hAnsi="Arial" w:cs="Arial"/>
                <w:color w:val="000000"/>
                <w:sz w:val="18"/>
                <w:szCs w:val="18"/>
              </w:rPr>
              <w:t>$9.12</w:t>
            </w:r>
          </w:p>
        </w:tc>
        <w:tc>
          <w:tcPr>
            <w:tcW w:w="814" w:type="pct"/>
            <w:shd w:val="clear" w:color="auto" w:fill="D9D9D9" w:themeFill="background1" w:themeFillShade="D9"/>
            <w:tcMar>
              <w:left w:w="115" w:type="dxa"/>
              <w:right w:w="115" w:type="dxa"/>
            </w:tcMar>
            <w:vAlign w:val="bottom"/>
          </w:tcPr>
          <w:p w14:paraId="684CDD5C" w14:textId="3A731DED" w:rsidR="00C475B5" w:rsidRPr="006A6F7C" w:rsidRDefault="00C475B5" w:rsidP="00C475B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Pr="006A6F7C">
              <w:rPr>
                <w:rFonts w:ascii="Arial" w:hAnsi="Arial" w:cs="Arial"/>
                <w:color w:val="000000"/>
                <w:sz w:val="18"/>
                <w:szCs w:val="18"/>
              </w:rPr>
              <w:t>11.1%</w:t>
            </w:r>
          </w:p>
        </w:tc>
        <w:tc>
          <w:tcPr>
            <w:tcW w:w="880" w:type="pct"/>
            <w:shd w:val="clear" w:color="auto" w:fill="D9D9D9" w:themeFill="background1" w:themeFillShade="D9"/>
            <w:tcMar>
              <w:left w:w="115" w:type="dxa"/>
              <w:right w:w="115" w:type="dxa"/>
            </w:tcMar>
            <w:vAlign w:val="bottom"/>
          </w:tcPr>
          <w:p w14:paraId="67D5006A" w14:textId="2A6A38BF" w:rsidR="00C475B5" w:rsidRPr="006A6F7C" w:rsidRDefault="00C475B5" w:rsidP="00C475B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Pr="006A6F7C">
              <w:rPr>
                <w:rFonts w:ascii="Arial" w:hAnsi="Arial" w:cs="Arial"/>
                <w:color w:val="000000"/>
                <w:sz w:val="18"/>
                <w:szCs w:val="18"/>
              </w:rPr>
              <w:t>11.7%</w:t>
            </w:r>
          </w:p>
        </w:tc>
      </w:tr>
      <w:tr w:rsidR="00C475B5" w:rsidRPr="001A7423" w14:paraId="4DCA14D1" w14:textId="77777777" w:rsidTr="00FF6740">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auto"/>
            <w:vAlign w:val="center"/>
          </w:tcPr>
          <w:p w14:paraId="0369C912" w14:textId="1CDE292A" w:rsidR="00C475B5" w:rsidRPr="001C710E" w:rsidRDefault="00C475B5" w:rsidP="00C475B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crab</w:t>
            </w:r>
          </w:p>
        </w:tc>
        <w:tc>
          <w:tcPr>
            <w:tcW w:w="1177" w:type="pct"/>
            <w:shd w:val="clear" w:color="auto" w:fill="auto"/>
            <w:tcMar>
              <w:left w:w="115" w:type="dxa"/>
              <w:right w:w="115" w:type="dxa"/>
            </w:tcMar>
            <w:vAlign w:val="bottom"/>
          </w:tcPr>
          <w:p w14:paraId="0C53779B" w14:textId="0C6487B5" w:rsidR="00C475B5" w:rsidRPr="006A6F7C" w:rsidRDefault="00C475B5" w:rsidP="00C475B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A6F7C">
              <w:rPr>
                <w:rFonts w:ascii="Arial" w:hAnsi="Arial" w:cs="Arial"/>
                <w:color w:val="000000"/>
                <w:sz w:val="18"/>
                <w:szCs w:val="18"/>
              </w:rPr>
              <w:t>$12.15</w:t>
            </w:r>
          </w:p>
        </w:tc>
        <w:tc>
          <w:tcPr>
            <w:tcW w:w="814" w:type="pct"/>
            <w:shd w:val="clear" w:color="auto" w:fill="auto"/>
            <w:tcMar>
              <w:left w:w="115" w:type="dxa"/>
              <w:right w:w="115" w:type="dxa"/>
            </w:tcMar>
            <w:vAlign w:val="bottom"/>
          </w:tcPr>
          <w:p w14:paraId="79203465" w14:textId="0FB7353E" w:rsidR="00C475B5" w:rsidRPr="006A6F7C" w:rsidRDefault="00C475B5" w:rsidP="00C475B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Pr="006A6F7C">
              <w:rPr>
                <w:rFonts w:ascii="Arial" w:hAnsi="Arial" w:cs="Arial"/>
                <w:color w:val="000000"/>
                <w:sz w:val="18"/>
                <w:szCs w:val="18"/>
              </w:rPr>
              <w:t>21.3%</w:t>
            </w:r>
          </w:p>
        </w:tc>
        <w:tc>
          <w:tcPr>
            <w:tcW w:w="880" w:type="pct"/>
            <w:shd w:val="clear" w:color="auto" w:fill="auto"/>
            <w:tcMar>
              <w:left w:w="115" w:type="dxa"/>
              <w:right w:w="115" w:type="dxa"/>
            </w:tcMar>
            <w:vAlign w:val="bottom"/>
          </w:tcPr>
          <w:p w14:paraId="638704A5" w14:textId="5C9D534E" w:rsidR="00C475B5" w:rsidRPr="006A6F7C" w:rsidRDefault="00C475B5" w:rsidP="00C475B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Pr="006A6F7C">
              <w:rPr>
                <w:rFonts w:ascii="Arial" w:hAnsi="Arial" w:cs="Arial"/>
                <w:color w:val="000000"/>
                <w:sz w:val="18"/>
                <w:szCs w:val="18"/>
              </w:rPr>
              <w:t>26.3%</w:t>
            </w:r>
          </w:p>
        </w:tc>
      </w:tr>
      <w:tr w:rsidR="00C475B5" w:rsidRPr="001A7423" w14:paraId="068D82E3" w14:textId="77777777" w:rsidTr="00FF6740">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5C8D7ED3" w14:textId="63D961EA" w:rsidR="00C475B5" w:rsidRPr="001C710E" w:rsidRDefault="00C475B5" w:rsidP="00C475B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cod</w:t>
            </w:r>
          </w:p>
        </w:tc>
        <w:tc>
          <w:tcPr>
            <w:tcW w:w="1177" w:type="pct"/>
            <w:shd w:val="clear" w:color="auto" w:fill="D9D9D9" w:themeFill="background1" w:themeFillShade="D9"/>
            <w:tcMar>
              <w:left w:w="115" w:type="dxa"/>
              <w:right w:w="115" w:type="dxa"/>
            </w:tcMar>
            <w:vAlign w:val="bottom"/>
          </w:tcPr>
          <w:p w14:paraId="3B4749E2" w14:textId="5DB4B24C" w:rsidR="00C475B5" w:rsidRPr="006A6F7C" w:rsidRDefault="00C475B5" w:rsidP="00C475B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A6F7C">
              <w:rPr>
                <w:rFonts w:ascii="Arial" w:hAnsi="Arial" w:cs="Arial"/>
                <w:color w:val="000000"/>
                <w:sz w:val="18"/>
                <w:szCs w:val="18"/>
              </w:rPr>
              <w:t>$</w:t>
            </w:r>
            <w:r>
              <w:rPr>
                <w:rFonts w:ascii="Arial" w:hAnsi="Arial" w:cs="Arial"/>
                <w:color w:val="000000"/>
                <w:sz w:val="18"/>
                <w:szCs w:val="18"/>
              </w:rPr>
              <w:t>10.85</w:t>
            </w:r>
          </w:p>
        </w:tc>
        <w:tc>
          <w:tcPr>
            <w:tcW w:w="814" w:type="pct"/>
            <w:shd w:val="clear" w:color="auto" w:fill="D9D9D9" w:themeFill="background1" w:themeFillShade="D9"/>
            <w:tcMar>
              <w:left w:w="115" w:type="dxa"/>
              <w:right w:w="115" w:type="dxa"/>
            </w:tcMar>
            <w:vAlign w:val="bottom"/>
          </w:tcPr>
          <w:p w14:paraId="38EA25CA" w14:textId="58BEE4D9" w:rsidR="00C475B5" w:rsidRPr="006A6F7C" w:rsidRDefault="00C475B5" w:rsidP="00C475B5">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+8.3</w:t>
            </w:r>
            <w:r w:rsidRPr="006A6F7C">
              <w:rPr>
                <w:rFonts w:ascii="Arial" w:hAnsi="Arial" w:cs="Arial"/>
                <w:color w:val="000000"/>
                <w:sz w:val="18"/>
                <w:szCs w:val="18"/>
              </w:rPr>
              <w:t>%</w:t>
            </w:r>
          </w:p>
        </w:tc>
        <w:tc>
          <w:tcPr>
            <w:tcW w:w="880" w:type="pct"/>
            <w:shd w:val="clear" w:color="auto" w:fill="D9D9D9" w:themeFill="background1" w:themeFillShade="D9"/>
            <w:tcMar>
              <w:left w:w="115" w:type="dxa"/>
              <w:right w:w="115" w:type="dxa"/>
            </w:tcMar>
            <w:vAlign w:val="bottom"/>
          </w:tcPr>
          <w:p w14:paraId="09B88330" w14:textId="6F88799E" w:rsidR="00C475B5" w:rsidRPr="006A6F7C" w:rsidRDefault="00C475B5" w:rsidP="00C475B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+12.8</w:t>
            </w:r>
            <w:r w:rsidRPr="006A6F7C">
              <w:rPr>
                <w:rFonts w:ascii="Arial" w:hAnsi="Arial" w:cs="Arial"/>
                <w:color w:val="000000"/>
                <w:sz w:val="18"/>
                <w:szCs w:val="18"/>
              </w:rPr>
              <w:t>%</w:t>
            </w:r>
          </w:p>
        </w:tc>
      </w:tr>
      <w:tr w:rsidR="00C475B5" w:rsidRPr="001A7423" w14:paraId="2216A6B8" w14:textId="77777777" w:rsidTr="00FF6740">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7DE2E5A6" w14:textId="030B466C" w:rsidR="00C475B5" w:rsidRPr="001C710E" w:rsidRDefault="00C475B5" w:rsidP="00C475B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tilapia</w:t>
            </w:r>
          </w:p>
        </w:tc>
        <w:tc>
          <w:tcPr>
            <w:tcW w:w="1177" w:type="pct"/>
            <w:shd w:val="clear" w:color="auto" w:fill="FFFFFF" w:themeFill="background1"/>
            <w:tcMar>
              <w:left w:w="115" w:type="dxa"/>
              <w:right w:w="115" w:type="dxa"/>
            </w:tcMar>
            <w:vAlign w:val="bottom"/>
          </w:tcPr>
          <w:p w14:paraId="04911170" w14:textId="2D52D7F5" w:rsidR="00C475B5" w:rsidRPr="006A6F7C" w:rsidRDefault="00C475B5" w:rsidP="00C475B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A6F7C">
              <w:rPr>
                <w:rFonts w:ascii="Arial" w:hAnsi="Arial" w:cs="Arial"/>
                <w:color w:val="000000"/>
                <w:sz w:val="18"/>
                <w:szCs w:val="18"/>
              </w:rPr>
              <w:t>$6.06</w:t>
            </w:r>
          </w:p>
        </w:tc>
        <w:tc>
          <w:tcPr>
            <w:tcW w:w="814" w:type="pct"/>
            <w:shd w:val="clear" w:color="auto" w:fill="FFFFFF" w:themeFill="background1"/>
            <w:tcMar>
              <w:left w:w="115" w:type="dxa"/>
              <w:right w:w="115" w:type="dxa"/>
            </w:tcMar>
            <w:vAlign w:val="bottom"/>
          </w:tcPr>
          <w:p w14:paraId="4C569A2D" w14:textId="7F6B4E1A" w:rsidR="00C475B5" w:rsidRPr="006A6F7C" w:rsidRDefault="00C475B5" w:rsidP="00C475B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Pr="006A6F7C">
              <w:rPr>
                <w:rFonts w:ascii="Arial" w:hAnsi="Arial" w:cs="Arial"/>
                <w:color w:val="000000"/>
                <w:sz w:val="18"/>
                <w:szCs w:val="18"/>
              </w:rPr>
              <w:t>3.2%</w:t>
            </w:r>
          </w:p>
        </w:tc>
        <w:tc>
          <w:tcPr>
            <w:tcW w:w="880" w:type="pct"/>
            <w:shd w:val="clear" w:color="auto" w:fill="FFFFFF" w:themeFill="background1"/>
            <w:tcMar>
              <w:left w:w="115" w:type="dxa"/>
              <w:right w:w="115" w:type="dxa"/>
            </w:tcMar>
            <w:vAlign w:val="bottom"/>
          </w:tcPr>
          <w:p w14:paraId="31659BCC" w14:textId="68DAD884" w:rsidR="00C475B5" w:rsidRPr="006A6F7C" w:rsidRDefault="00C475B5" w:rsidP="00C475B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6A6F7C">
              <w:rPr>
                <w:rFonts w:ascii="Arial" w:hAnsi="Arial" w:cs="Arial"/>
                <w:color w:val="000000"/>
                <w:sz w:val="18"/>
                <w:szCs w:val="18"/>
              </w:rPr>
              <w:t>-3.4%</w:t>
            </w:r>
          </w:p>
        </w:tc>
      </w:tr>
    </w:tbl>
    <w:p w14:paraId="4890B49F" w14:textId="755D3745" w:rsidR="005F0766" w:rsidRDefault="006A6F7C" w:rsidP="00C94CA8">
      <w:pPr>
        <w:pStyle w:val="NoSpacing"/>
        <w:rPr>
          <w:rFonts w:ascii="Arial" w:hAnsi="Arial" w:cs="Arial"/>
          <w:sz w:val="20"/>
          <w:szCs w:val="20"/>
        </w:rPr>
      </w:pPr>
      <w:bookmarkStart w:id="5" w:name="_Hlk116283646"/>
      <w:r>
        <w:rPr>
          <w:rFonts w:ascii="Arial" w:hAnsi="Arial" w:cs="Arial"/>
          <w:sz w:val="20"/>
          <w:szCs w:val="20"/>
        </w:rPr>
        <w:t>Out of the largest species on the refrigerated/fresh side, crab, shrimp and cod’s double-digit price increases were a large factor in the overall 4.1% increase for total seafood</w:t>
      </w:r>
      <w:r w:rsidR="005F0766">
        <w:rPr>
          <w:rFonts w:ascii="Arial" w:hAnsi="Arial" w:cs="Arial"/>
          <w:sz w:val="20"/>
          <w:szCs w:val="20"/>
        </w:rPr>
        <w:t xml:space="preserve">. </w:t>
      </w:r>
    </w:p>
    <w:p w14:paraId="04F0A3C0" w14:textId="77777777" w:rsidR="005F0766" w:rsidRDefault="005F0766" w:rsidP="00C94CA8">
      <w:pPr>
        <w:pStyle w:val="NoSpacing"/>
        <w:rPr>
          <w:rFonts w:ascii="Arial" w:hAnsi="Arial" w:cs="Arial"/>
          <w:sz w:val="20"/>
          <w:szCs w:val="20"/>
        </w:rPr>
      </w:pPr>
    </w:p>
    <w:p w14:paraId="6EE7A661" w14:textId="77777777" w:rsidR="00E35BCC" w:rsidRDefault="006A6F7C" w:rsidP="00E35BCC">
      <w:pPr>
        <w:pStyle w:val="NoSpacing"/>
        <w:ind w:right="6941"/>
        <w:rPr>
          <w:rFonts w:ascii="Arial" w:hAnsi="Arial" w:cs="Arial"/>
          <w:sz w:val="20"/>
          <w:szCs w:val="20"/>
        </w:rPr>
      </w:pPr>
      <w:r>
        <w:rPr>
          <w:rFonts w:ascii="Arial" w:hAnsi="Arial" w:cs="Arial"/>
          <w:sz w:val="20"/>
          <w:szCs w:val="20"/>
        </w:rPr>
        <w:t>Among the top frozen species sales dominance combined with a 12.6% year-</w:t>
      </w:r>
    </w:p>
    <w:tbl>
      <w:tblPr>
        <w:tblStyle w:val="LightShading-Accent5"/>
        <w:tblpPr w:leftFromText="180" w:rightFromText="180" w:vertAnchor="text" w:tblpXSpec="right" w:tblpY="1"/>
        <w:tblOverlap w:val="never"/>
        <w:tblW w:w="3113" w:type="pct"/>
        <w:jc w:val="right"/>
        <w:tblBorders>
          <w:top w:val="none" w:sz="0" w:space="0" w:color="auto"/>
          <w:bottom w:val="none" w:sz="0" w:space="0" w:color="auto"/>
        </w:tblBorders>
        <w:tblLayout w:type="fixed"/>
        <w:tblLook w:val="04A0" w:firstRow="1" w:lastRow="0" w:firstColumn="1" w:lastColumn="0" w:noHBand="0" w:noVBand="1"/>
      </w:tblPr>
      <w:tblGrid>
        <w:gridCol w:w="2828"/>
        <w:gridCol w:w="1555"/>
        <w:gridCol w:w="1076"/>
        <w:gridCol w:w="1160"/>
      </w:tblGrid>
      <w:tr w:rsidR="00E35BCC" w:rsidRPr="00DA3DDE" w14:paraId="40ED72CD" w14:textId="77777777" w:rsidTr="00110BBD">
        <w:trPr>
          <w:cnfStyle w:val="100000000000" w:firstRow="1" w:lastRow="0" w:firstColumn="0" w:lastColumn="0" w:oddVBand="0" w:evenVBand="0" w:oddHBand="0" w:evenHBand="0" w:firstRowFirstColumn="0" w:firstRowLastColumn="0" w:lastRowFirstColumn="0" w:lastRowLastColumn="0"/>
          <w:trHeight w:val="319"/>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17365D" w:themeFill="text2" w:themeFillShade="BF"/>
          </w:tcPr>
          <w:p w14:paraId="47E6D27F" w14:textId="5A2963EA" w:rsidR="00E35BCC" w:rsidRPr="00D5653C" w:rsidRDefault="00E35BCC" w:rsidP="00110BBD">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Price per pound</w:t>
            </w:r>
            <w:r>
              <w:rPr>
                <w:rFonts w:ascii="Arial" w:hAnsi="Arial" w:cs="Arial"/>
                <w:color w:val="FFFFFF" w:themeColor="background1"/>
                <w:sz w:val="18"/>
                <w:szCs w:val="18"/>
              </w:rPr>
              <w:br/>
              <w:t>November 2025</w:t>
            </w:r>
          </w:p>
        </w:tc>
        <w:tc>
          <w:tcPr>
            <w:tcW w:w="1175" w:type="pct"/>
            <w:shd w:val="clear" w:color="auto" w:fill="17365D" w:themeFill="text2" w:themeFillShade="BF"/>
            <w:tcMar>
              <w:left w:w="115" w:type="dxa"/>
              <w:right w:w="115" w:type="dxa"/>
            </w:tcMar>
          </w:tcPr>
          <w:p w14:paraId="7D262454" w14:textId="77777777" w:rsidR="00E35BCC" w:rsidRPr="00DA3DDE" w:rsidRDefault="00E35BCC" w:rsidP="00110BBD">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3" w:type="pct"/>
            <w:shd w:val="clear" w:color="auto" w:fill="17365D" w:themeFill="text2" w:themeFillShade="BF"/>
            <w:tcMar>
              <w:left w:w="115" w:type="dxa"/>
              <w:right w:w="115" w:type="dxa"/>
            </w:tcMar>
          </w:tcPr>
          <w:p w14:paraId="3B4CB4AF" w14:textId="77777777" w:rsidR="00E35BCC" w:rsidRPr="00DA3DDE" w:rsidRDefault="00E35BCC" w:rsidP="00110BBD">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76" w:type="pct"/>
            <w:shd w:val="clear" w:color="auto" w:fill="17365D" w:themeFill="text2" w:themeFillShade="BF"/>
            <w:tcMar>
              <w:left w:w="115" w:type="dxa"/>
              <w:right w:w="115" w:type="dxa"/>
            </w:tcMar>
          </w:tcPr>
          <w:p w14:paraId="08BC7552" w14:textId="77777777" w:rsidR="00E35BCC" w:rsidRPr="00DA3DDE" w:rsidRDefault="00E35BCC" w:rsidP="00110BBD">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E35BCC" w:rsidRPr="006A6F7C" w14:paraId="330DCD6C" w14:textId="77777777" w:rsidTr="00110BBD">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7059FC29" w14:textId="77777777" w:rsidR="00E35BCC" w:rsidRPr="006A6F7C" w:rsidRDefault="00E35BCC" w:rsidP="00110BBD">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shrimp</w:t>
            </w:r>
          </w:p>
        </w:tc>
        <w:tc>
          <w:tcPr>
            <w:tcW w:w="1175" w:type="pct"/>
            <w:shd w:val="clear" w:color="auto" w:fill="FFFFFF" w:themeFill="background1"/>
            <w:tcMar>
              <w:left w:w="115" w:type="dxa"/>
              <w:right w:w="115" w:type="dxa"/>
            </w:tcMar>
            <w:vAlign w:val="bottom"/>
          </w:tcPr>
          <w:p w14:paraId="472B9AFE" w14:textId="77777777" w:rsidR="00E35BCC" w:rsidRPr="006A6F7C" w:rsidRDefault="00E35BCC" w:rsidP="00110BB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6A6F7C">
              <w:rPr>
                <w:rFonts w:ascii="Arial" w:hAnsi="Arial" w:cs="Arial"/>
                <w:bCs/>
                <w:color w:val="000000"/>
                <w:sz w:val="18"/>
                <w:szCs w:val="18"/>
              </w:rPr>
              <w:t>$8.66</w:t>
            </w:r>
          </w:p>
        </w:tc>
        <w:tc>
          <w:tcPr>
            <w:tcW w:w="813" w:type="pct"/>
            <w:shd w:val="clear" w:color="auto" w:fill="FFFFFF" w:themeFill="background1"/>
            <w:tcMar>
              <w:left w:w="115" w:type="dxa"/>
              <w:right w:w="115" w:type="dxa"/>
            </w:tcMar>
            <w:vAlign w:val="bottom"/>
          </w:tcPr>
          <w:p w14:paraId="6EE5E3E7" w14:textId="77777777" w:rsidR="00E35BCC" w:rsidRPr="006A6F7C" w:rsidRDefault="00E35BCC" w:rsidP="00110BB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Pr="006A6F7C">
              <w:rPr>
                <w:rFonts w:ascii="Arial" w:hAnsi="Arial" w:cs="Arial"/>
                <w:bCs/>
                <w:color w:val="000000"/>
                <w:sz w:val="18"/>
                <w:szCs w:val="18"/>
              </w:rPr>
              <w:t>12.6%</w:t>
            </w:r>
          </w:p>
        </w:tc>
        <w:tc>
          <w:tcPr>
            <w:tcW w:w="876" w:type="pct"/>
            <w:shd w:val="clear" w:color="auto" w:fill="FFFFFF" w:themeFill="background1"/>
            <w:tcMar>
              <w:left w:w="115" w:type="dxa"/>
              <w:right w:w="115" w:type="dxa"/>
            </w:tcMar>
            <w:vAlign w:val="bottom"/>
          </w:tcPr>
          <w:p w14:paraId="046508C3" w14:textId="77777777" w:rsidR="00E35BCC" w:rsidRPr="006A6F7C" w:rsidRDefault="00E35BCC" w:rsidP="00110BB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Pr="006A6F7C">
              <w:rPr>
                <w:rFonts w:ascii="Arial" w:hAnsi="Arial" w:cs="Arial"/>
                <w:bCs/>
                <w:color w:val="000000"/>
                <w:sz w:val="18"/>
                <w:szCs w:val="18"/>
              </w:rPr>
              <w:t>9.9%</w:t>
            </w:r>
          </w:p>
        </w:tc>
      </w:tr>
      <w:tr w:rsidR="00E35BCC" w:rsidRPr="006A6F7C" w14:paraId="2462F49A" w14:textId="77777777" w:rsidTr="00110BBD">
        <w:trPr>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D9D9D9" w:themeFill="background1" w:themeFillShade="D9"/>
            <w:vAlign w:val="center"/>
          </w:tcPr>
          <w:p w14:paraId="338E84FF" w14:textId="77777777" w:rsidR="00E35BCC" w:rsidRPr="006A6F7C" w:rsidRDefault="00E35BCC" w:rsidP="00110BBD">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salmon</w:t>
            </w:r>
          </w:p>
        </w:tc>
        <w:tc>
          <w:tcPr>
            <w:tcW w:w="1175" w:type="pct"/>
            <w:shd w:val="clear" w:color="auto" w:fill="D9D9D9" w:themeFill="background1" w:themeFillShade="D9"/>
            <w:tcMar>
              <w:left w:w="115" w:type="dxa"/>
              <w:right w:w="115" w:type="dxa"/>
            </w:tcMar>
            <w:vAlign w:val="bottom"/>
          </w:tcPr>
          <w:p w14:paraId="7D90FF87" w14:textId="77777777" w:rsidR="00E35BCC" w:rsidRPr="006A6F7C" w:rsidRDefault="00E35BCC" w:rsidP="00110BB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6A6F7C">
              <w:rPr>
                <w:rFonts w:ascii="Arial" w:hAnsi="Arial" w:cs="Arial"/>
                <w:bCs/>
                <w:color w:val="000000"/>
                <w:sz w:val="18"/>
                <w:szCs w:val="18"/>
              </w:rPr>
              <w:t>$9.62</w:t>
            </w:r>
          </w:p>
        </w:tc>
        <w:tc>
          <w:tcPr>
            <w:tcW w:w="813" w:type="pct"/>
            <w:shd w:val="clear" w:color="auto" w:fill="D9D9D9" w:themeFill="background1" w:themeFillShade="D9"/>
            <w:tcMar>
              <w:left w:w="115" w:type="dxa"/>
              <w:right w:w="115" w:type="dxa"/>
            </w:tcMar>
            <w:vAlign w:val="bottom"/>
          </w:tcPr>
          <w:p w14:paraId="3EA7D687" w14:textId="77777777" w:rsidR="00E35BCC" w:rsidRPr="006A6F7C" w:rsidRDefault="00E35BCC" w:rsidP="00110BB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Pr="006A6F7C">
              <w:rPr>
                <w:rFonts w:ascii="Arial" w:hAnsi="Arial" w:cs="Arial"/>
                <w:bCs/>
                <w:color w:val="000000"/>
                <w:sz w:val="18"/>
                <w:szCs w:val="18"/>
              </w:rPr>
              <w:t>5.8%</w:t>
            </w:r>
          </w:p>
        </w:tc>
        <w:tc>
          <w:tcPr>
            <w:tcW w:w="876" w:type="pct"/>
            <w:shd w:val="clear" w:color="auto" w:fill="D9D9D9" w:themeFill="background1" w:themeFillShade="D9"/>
            <w:tcMar>
              <w:left w:w="115" w:type="dxa"/>
              <w:right w:w="115" w:type="dxa"/>
            </w:tcMar>
            <w:vAlign w:val="bottom"/>
          </w:tcPr>
          <w:p w14:paraId="47DDD5E1" w14:textId="77777777" w:rsidR="00E35BCC" w:rsidRPr="006A6F7C" w:rsidRDefault="00E35BCC" w:rsidP="00110BB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Pr="006A6F7C">
              <w:rPr>
                <w:rFonts w:ascii="Arial" w:hAnsi="Arial" w:cs="Arial"/>
                <w:bCs/>
                <w:color w:val="000000"/>
                <w:sz w:val="18"/>
                <w:szCs w:val="18"/>
              </w:rPr>
              <w:t>2.6%</w:t>
            </w:r>
          </w:p>
        </w:tc>
      </w:tr>
      <w:tr w:rsidR="00E35BCC" w:rsidRPr="006A6F7C" w14:paraId="51EEBECA" w14:textId="77777777" w:rsidTr="00110BBD">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034E85F3" w14:textId="77777777" w:rsidR="00E35BCC" w:rsidRPr="006A6F7C" w:rsidRDefault="00E35BCC" w:rsidP="00110BBD">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pollock</w:t>
            </w:r>
          </w:p>
        </w:tc>
        <w:tc>
          <w:tcPr>
            <w:tcW w:w="1175" w:type="pct"/>
            <w:shd w:val="clear" w:color="auto" w:fill="FFFFFF" w:themeFill="background1"/>
            <w:tcMar>
              <w:left w:w="115" w:type="dxa"/>
              <w:right w:w="115" w:type="dxa"/>
            </w:tcMar>
            <w:vAlign w:val="bottom"/>
          </w:tcPr>
          <w:p w14:paraId="7675721F" w14:textId="77777777" w:rsidR="00E35BCC" w:rsidRPr="006A6F7C" w:rsidRDefault="00E35BCC" w:rsidP="00110BB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sidRPr="006A6F7C">
              <w:rPr>
                <w:rFonts w:ascii="Arial" w:hAnsi="Arial" w:cs="Arial"/>
                <w:bCs/>
                <w:color w:val="000000"/>
                <w:sz w:val="18"/>
                <w:szCs w:val="18"/>
              </w:rPr>
              <w:t>$5.11</w:t>
            </w:r>
          </w:p>
        </w:tc>
        <w:tc>
          <w:tcPr>
            <w:tcW w:w="813" w:type="pct"/>
            <w:shd w:val="clear" w:color="auto" w:fill="FFFFFF" w:themeFill="background1"/>
            <w:tcMar>
              <w:left w:w="115" w:type="dxa"/>
              <w:right w:w="115" w:type="dxa"/>
            </w:tcMar>
            <w:vAlign w:val="bottom"/>
          </w:tcPr>
          <w:p w14:paraId="12A80DF9" w14:textId="77777777" w:rsidR="00E35BCC" w:rsidRPr="006A6F7C" w:rsidRDefault="00E35BCC" w:rsidP="00110BB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sidRPr="006A6F7C">
              <w:rPr>
                <w:rFonts w:ascii="Arial" w:hAnsi="Arial" w:cs="Arial"/>
                <w:bCs/>
                <w:color w:val="000000"/>
                <w:sz w:val="18"/>
                <w:szCs w:val="18"/>
              </w:rPr>
              <w:t>-1.1%</w:t>
            </w:r>
          </w:p>
        </w:tc>
        <w:tc>
          <w:tcPr>
            <w:tcW w:w="876" w:type="pct"/>
            <w:shd w:val="clear" w:color="auto" w:fill="FFFFFF" w:themeFill="background1"/>
            <w:tcMar>
              <w:left w:w="115" w:type="dxa"/>
              <w:right w:w="115" w:type="dxa"/>
            </w:tcMar>
            <w:vAlign w:val="bottom"/>
          </w:tcPr>
          <w:p w14:paraId="542CB37E" w14:textId="77777777" w:rsidR="00E35BCC" w:rsidRPr="006A6F7C" w:rsidRDefault="00E35BCC" w:rsidP="00110BB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bCs/>
                <w:color w:val="000000"/>
                <w:sz w:val="18"/>
                <w:szCs w:val="18"/>
              </w:rPr>
              <w:t>+</w:t>
            </w:r>
            <w:r w:rsidRPr="006A6F7C">
              <w:rPr>
                <w:rFonts w:ascii="Arial" w:hAnsi="Arial" w:cs="Arial"/>
                <w:bCs/>
                <w:color w:val="000000"/>
                <w:sz w:val="18"/>
                <w:szCs w:val="18"/>
              </w:rPr>
              <w:t>0.1%</w:t>
            </w:r>
          </w:p>
        </w:tc>
      </w:tr>
      <w:tr w:rsidR="00E35BCC" w:rsidRPr="006A6F7C" w14:paraId="45A81820" w14:textId="77777777" w:rsidTr="00110BBD">
        <w:trPr>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D9D9D9" w:themeFill="background1" w:themeFillShade="D9"/>
            <w:vAlign w:val="center"/>
          </w:tcPr>
          <w:p w14:paraId="4F1A394D" w14:textId="77777777" w:rsidR="00E35BCC" w:rsidRPr="006A6F7C" w:rsidRDefault="00E35BCC" w:rsidP="00110BBD">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tilapia</w:t>
            </w:r>
          </w:p>
        </w:tc>
        <w:tc>
          <w:tcPr>
            <w:tcW w:w="1175" w:type="pct"/>
            <w:shd w:val="clear" w:color="auto" w:fill="D9D9D9" w:themeFill="background1" w:themeFillShade="D9"/>
            <w:tcMar>
              <w:left w:w="115" w:type="dxa"/>
              <w:right w:w="115" w:type="dxa"/>
            </w:tcMar>
            <w:vAlign w:val="bottom"/>
          </w:tcPr>
          <w:p w14:paraId="3C152AB8" w14:textId="77777777" w:rsidR="00E35BCC" w:rsidRPr="006A6F7C" w:rsidRDefault="00E35BCC" w:rsidP="00110BB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sidRPr="006A6F7C">
              <w:rPr>
                <w:rFonts w:ascii="Arial" w:hAnsi="Arial" w:cs="Arial"/>
                <w:bCs/>
                <w:color w:val="000000"/>
                <w:sz w:val="18"/>
                <w:szCs w:val="18"/>
              </w:rPr>
              <w:t>$5.29</w:t>
            </w:r>
          </w:p>
        </w:tc>
        <w:tc>
          <w:tcPr>
            <w:tcW w:w="813" w:type="pct"/>
            <w:shd w:val="clear" w:color="auto" w:fill="D9D9D9" w:themeFill="background1" w:themeFillShade="D9"/>
            <w:tcMar>
              <w:left w:w="115" w:type="dxa"/>
              <w:right w:w="115" w:type="dxa"/>
            </w:tcMar>
            <w:vAlign w:val="bottom"/>
          </w:tcPr>
          <w:p w14:paraId="1314B654" w14:textId="77777777" w:rsidR="00E35BCC" w:rsidRPr="006A6F7C" w:rsidRDefault="00E35BCC" w:rsidP="00110BB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Pr>
                <w:rFonts w:ascii="Arial" w:hAnsi="Arial" w:cs="Arial"/>
                <w:bCs/>
                <w:color w:val="000000"/>
                <w:sz w:val="18"/>
                <w:szCs w:val="18"/>
              </w:rPr>
              <w:t>+</w:t>
            </w:r>
            <w:r w:rsidRPr="006A6F7C">
              <w:rPr>
                <w:rFonts w:ascii="Arial" w:hAnsi="Arial" w:cs="Arial"/>
                <w:bCs/>
                <w:color w:val="000000"/>
                <w:sz w:val="18"/>
                <w:szCs w:val="18"/>
              </w:rPr>
              <w:t>3.5%</w:t>
            </w:r>
          </w:p>
        </w:tc>
        <w:tc>
          <w:tcPr>
            <w:tcW w:w="876" w:type="pct"/>
            <w:shd w:val="clear" w:color="auto" w:fill="D9D9D9" w:themeFill="background1" w:themeFillShade="D9"/>
            <w:tcMar>
              <w:left w:w="115" w:type="dxa"/>
              <w:right w:w="115" w:type="dxa"/>
            </w:tcMar>
            <w:vAlign w:val="bottom"/>
          </w:tcPr>
          <w:p w14:paraId="1CA3740F" w14:textId="77777777" w:rsidR="00E35BCC" w:rsidRPr="006A6F7C" w:rsidRDefault="00E35BCC" w:rsidP="00110BB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Pr>
                <w:rFonts w:ascii="Arial" w:hAnsi="Arial" w:cs="Arial"/>
                <w:bCs/>
                <w:color w:val="000000"/>
                <w:sz w:val="18"/>
                <w:szCs w:val="18"/>
              </w:rPr>
              <w:t>+</w:t>
            </w:r>
            <w:r w:rsidRPr="006A6F7C">
              <w:rPr>
                <w:rFonts w:ascii="Arial" w:hAnsi="Arial" w:cs="Arial"/>
                <w:bCs/>
                <w:color w:val="000000"/>
                <w:sz w:val="18"/>
                <w:szCs w:val="18"/>
              </w:rPr>
              <w:t>7.1%</w:t>
            </w:r>
          </w:p>
        </w:tc>
      </w:tr>
      <w:tr w:rsidR="00E35BCC" w:rsidRPr="006A6F7C" w14:paraId="134968EC" w14:textId="77777777" w:rsidTr="00110BBD">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5CB251B3" w14:textId="77777777" w:rsidR="00E35BCC" w:rsidRPr="006A6F7C" w:rsidRDefault="00E35BCC" w:rsidP="00110BBD">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crab</w:t>
            </w:r>
          </w:p>
        </w:tc>
        <w:tc>
          <w:tcPr>
            <w:tcW w:w="1175" w:type="pct"/>
            <w:shd w:val="clear" w:color="auto" w:fill="FFFFFF" w:themeFill="background1"/>
            <w:tcMar>
              <w:left w:w="115" w:type="dxa"/>
              <w:right w:w="115" w:type="dxa"/>
            </w:tcMar>
            <w:vAlign w:val="bottom"/>
          </w:tcPr>
          <w:p w14:paraId="3FF52435" w14:textId="77777777" w:rsidR="00E35BCC" w:rsidRPr="006A6F7C" w:rsidRDefault="00E35BCC" w:rsidP="00110BB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sidRPr="006A6F7C">
              <w:rPr>
                <w:rFonts w:ascii="Arial" w:hAnsi="Arial" w:cs="Arial"/>
                <w:bCs/>
                <w:color w:val="000000"/>
                <w:sz w:val="18"/>
                <w:szCs w:val="18"/>
              </w:rPr>
              <w:t>$12.37</w:t>
            </w:r>
          </w:p>
        </w:tc>
        <w:tc>
          <w:tcPr>
            <w:tcW w:w="813" w:type="pct"/>
            <w:shd w:val="clear" w:color="auto" w:fill="FFFFFF" w:themeFill="background1"/>
            <w:tcMar>
              <w:left w:w="115" w:type="dxa"/>
              <w:right w:w="115" w:type="dxa"/>
            </w:tcMar>
            <w:vAlign w:val="bottom"/>
          </w:tcPr>
          <w:p w14:paraId="3A7AD979" w14:textId="77777777" w:rsidR="00E35BCC" w:rsidRPr="006A6F7C" w:rsidRDefault="00E35BCC" w:rsidP="00110BB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bCs/>
                <w:color w:val="000000"/>
                <w:sz w:val="18"/>
                <w:szCs w:val="18"/>
              </w:rPr>
              <w:t>+</w:t>
            </w:r>
            <w:r w:rsidRPr="006A6F7C">
              <w:rPr>
                <w:rFonts w:ascii="Arial" w:hAnsi="Arial" w:cs="Arial"/>
                <w:bCs/>
                <w:color w:val="000000"/>
                <w:sz w:val="18"/>
                <w:szCs w:val="18"/>
              </w:rPr>
              <w:t>5.7%</w:t>
            </w:r>
          </w:p>
        </w:tc>
        <w:tc>
          <w:tcPr>
            <w:tcW w:w="876" w:type="pct"/>
            <w:shd w:val="clear" w:color="auto" w:fill="FFFFFF" w:themeFill="background1"/>
            <w:tcMar>
              <w:left w:w="115" w:type="dxa"/>
              <w:right w:w="115" w:type="dxa"/>
            </w:tcMar>
            <w:vAlign w:val="bottom"/>
          </w:tcPr>
          <w:p w14:paraId="15F5D718" w14:textId="77777777" w:rsidR="00E35BCC" w:rsidRPr="006A6F7C" w:rsidRDefault="00E35BCC" w:rsidP="00110BB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sidRPr="006A6F7C">
              <w:rPr>
                <w:rFonts w:ascii="Arial" w:hAnsi="Arial" w:cs="Arial"/>
                <w:bCs/>
                <w:color w:val="000000"/>
                <w:sz w:val="18"/>
                <w:szCs w:val="18"/>
              </w:rPr>
              <w:t>-5.7%</w:t>
            </w:r>
          </w:p>
        </w:tc>
      </w:tr>
    </w:tbl>
    <w:p w14:paraId="5D637236" w14:textId="6230382B" w:rsidR="005F0766" w:rsidRDefault="006A6F7C" w:rsidP="00E35BCC">
      <w:pPr>
        <w:pStyle w:val="NoSpacing"/>
        <w:ind w:right="6941"/>
        <w:rPr>
          <w:rFonts w:ascii="Arial" w:hAnsi="Arial" w:cs="Arial"/>
          <w:sz w:val="20"/>
          <w:szCs w:val="20"/>
        </w:rPr>
      </w:pPr>
      <w:r>
        <w:rPr>
          <w:rFonts w:ascii="Arial" w:hAnsi="Arial" w:cs="Arial"/>
          <w:sz w:val="20"/>
          <w:szCs w:val="20"/>
        </w:rPr>
        <w:t xml:space="preserve">over-year increase in the price per pound were a large factor in </w:t>
      </w:r>
      <w:r w:rsidR="00E35BCC">
        <w:rPr>
          <w:rFonts w:ascii="Arial" w:hAnsi="Arial" w:cs="Arial"/>
          <w:sz w:val="20"/>
          <w:szCs w:val="20"/>
        </w:rPr>
        <w:t xml:space="preserve">the overall seafood inflation of 7.0%. </w:t>
      </w:r>
    </w:p>
    <w:p w14:paraId="0537979E" w14:textId="024AD7DE" w:rsidR="002650ED" w:rsidRDefault="005F0766" w:rsidP="00C94CA8">
      <w:pPr>
        <w:pStyle w:val="NoSpacing"/>
        <w:rPr>
          <w:rFonts w:ascii="Arial" w:hAnsi="Arial" w:cs="Arial"/>
          <w:sz w:val="20"/>
          <w:szCs w:val="20"/>
        </w:rPr>
      </w:pPr>
      <w:r>
        <w:rPr>
          <w:rFonts w:ascii="Arial" w:hAnsi="Arial" w:cs="Arial"/>
          <w:sz w:val="20"/>
          <w:szCs w:val="20"/>
        </w:rPr>
        <w:t xml:space="preserve"> </w:t>
      </w:r>
      <w:r w:rsidR="00821CA1">
        <w:rPr>
          <w:rFonts w:ascii="Arial" w:hAnsi="Arial" w:cs="Arial"/>
          <w:sz w:val="20"/>
          <w:szCs w:val="20"/>
        </w:rPr>
        <w:t xml:space="preserve"> </w:t>
      </w:r>
    </w:p>
    <w:p w14:paraId="0A92655C" w14:textId="2E757130" w:rsidR="00D12080" w:rsidRPr="00F07831" w:rsidRDefault="00D12080" w:rsidP="00D12080">
      <w:pPr>
        <w:pStyle w:val="NoSpacing"/>
        <w:rPr>
          <w:rFonts w:ascii="Arial" w:hAnsi="Arial" w:cs="Arial"/>
          <w:sz w:val="8"/>
          <w:szCs w:val="8"/>
        </w:rPr>
      </w:pPr>
    </w:p>
    <w:p w14:paraId="2D4732FF" w14:textId="1C10C728" w:rsidR="00D12080" w:rsidRPr="001634E8" w:rsidRDefault="00D12080" w:rsidP="00D12080">
      <w:pPr>
        <w:pStyle w:val="NoSpacing"/>
        <w:rPr>
          <w:rFonts w:ascii="Arial" w:hAnsi="Arial" w:cs="Arial"/>
          <w:color w:val="7F7F7F" w:themeColor="text1" w:themeTint="80"/>
          <w:sz w:val="16"/>
          <w:szCs w:val="16"/>
        </w:rPr>
      </w:pPr>
      <w:r w:rsidRPr="001634E8">
        <w:rPr>
          <w:rFonts w:ascii="Arial" w:hAnsi="Arial" w:cs="Arial"/>
          <w:color w:val="7F7F7F" w:themeColor="text1" w:themeTint="80"/>
          <w:sz w:val="16"/>
          <w:szCs w:val="16"/>
        </w:rPr>
        <w:t xml:space="preserve">Source: </w:t>
      </w:r>
      <w:proofErr w:type="spellStart"/>
      <w:r w:rsidRPr="001634E8">
        <w:rPr>
          <w:rFonts w:ascii="Arial" w:hAnsi="Arial" w:cs="Arial"/>
          <w:color w:val="7F7F7F" w:themeColor="text1" w:themeTint="80"/>
          <w:sz w:val="16"/>
          <w:szCs w:val="16"/>
        </w:rPr>
        <w:t>Circana</w:t>
      </w:r>
      <w:proofErr w:type="spellEnd"/>
      <w:r w:rsidRPr="001634E8">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r w:rsidRPr="001634E8">
        <w:rPr>
          <w:rFonts w:ascii="Arial" w:hAnsi="Arial" w:cs="Arial"/>
          <w:color w:val="7F7F7F" w:themeColor="text1" w:themeTint="80"/>
          <w:sz w:val="16"/>
          <w:szCs w:val="16"/>
        </w:rPr>
        <w:t xml:space="preserve"> (not shown: other items in the seafood department)</w:t>
      </w:r>
    </w:p>
    <w:bookmarkEnd w:id="5"/>
    <w:p w14:paraId="77B5C020" w14:textId="77777777" w:rsidR="006416E7" w:rsidRDefault="006416E7" w:rsidP="00F9280C">
      <w:pPr>
        <w:pStyle w:val="NoSpacing"/>
        <w:rPr>
          <w:rFonts w:ascii="Arial" w:hAnsi="Arial" w:cs="Arial"/>
          <w:b/>
          <w:bCs/>
          <w:color w:val="595959" w:themeColor="text1" w:themeTint="A6"/>
          <w:sz w:val="24"/>
          <w:szCs w:val="24"/>
        </w:rPr>
      </w:pPr>
    </w:p>
    <w:p w14:paraId="516F71DC" w14:textId="35B6204C" w:rsidR="00BB587C" w:rsidRPr="00C24355" w:rsidRDefault="0011578C" w:rsidP="00F9280C">
      <w:pPr>
        <w:pStyle w:val="NoSpacing"/>
        <w:rPr>
          <w:rFonts w:ascii="Arial" w:hAnsi="Arial" w:cs="Arial"/>
          <w:b/>
          <w:bCs/>
          <w:color w:val="00857C"/>
          <w:sz w:val="24"/>
          <w:szCs w:val="24"/>
        </w:rPr>
      </w:pPr>
      <w:r w:rsidRPr="003B2ECF">
        <w:rPr>
          <w:rFonts w:ascii="Arial" w:hAnsi="Arial" w:cs="Arial"/>
          <w:b/>
          <w:bCs/>
          <w:color w:val="00857C"/>
          <w:sz w:val="24"/>
          <w:szCs w:val="24"/>
        </w:rPr>
        <w:t>S</w:t>
      </w:r>
      <w:r w:rsidR="00BB587C" w:rsidRPr="003B2ECF">
        <w:rPr>
          <w:rFonts w:ascii="Arial" w:hAnsi="Arial" w:cs="Arial"/>
          <w:b/>
          <w:bCs/>
          <w:color w:val="00857C"/>
          <w:sz w:val="24"/>
          <w:szCs w:val="24"/>
        </w:rPr>
        <w:t>eafood</w:t>
      </w:r>
      <w:r w:rsidR="00BB587C" w:rsidRPr="00C24355">
        <w:rPr>
          <w:rFonts w:ascii="Arial" w:hAnsi="Arial" w:cs="Arial"/>
          <w:b/>
          <w:bCs/>
          <w:color w:val="00857C"/>
          <w:sz w:val="24"/>
          <w:szCs w:val="24"/>
        </w:rPr>
        <w:t xml:space="preserve"> Across the Store</w:t>
      </w:r>
      <w:r w:rsidR="00500DBE" w:rsidRPr="00C24355">
        <w:rPr>
          <w:rFonts w:ascii="Arial" w:hAnsi="Arial" w:cs="Arial"/>
          <w:b/>
          <w:bCs/>
          <w:color w:val="00857C"/>
          <w:sz w:val="24"/>
          <w:szCs w:val="24"/>
        </w:rPr>
        <w:t xml:space="preserve"> </w:t>
      </w:r>
    </w:p>
    <w:p w14:paraId="01824165" w14:textId="61BD1D52" w:rsidR="001544DD" w:rsidRDefault="00AD1105" w:rsidP="00BB587C">
      <w:pPr>
        <w:pStyle w:val="NoSpacing"/>
        <w:rPr>
          <w:rFonts w:ascii="Arial" w:hAnsi="Arial" w:cs="Arial"/>
          <w:sz w:val="20"/>
        </w:rPr>
      </w:pPr>
      <w:bookmarkStart w:id="6" w:name="_Hlk92610860"/>
      <w:r w:rsidRPr="00AD1105">
        <w:rPr>
          <w:rFonts w:ascii="Arial" w:hAnsi="Arial" w:cs="Arial"/>
          <w:sz w:val="20"/>
        </w:rPr>
        <w:t>After a softer October, shelf-stable seafood rebounded sharply in November, aligning with strong performance in canned vegetables. Retailer-led foodbank support initiatives during the government shutdown likely contributed to elevated unit movement</w:t>
      </w:r>
      <w:r>
        <w:rPr>
          <w:rFonts w:ascii="Arial" w:hAnsi="Arial" w:cs="Arial"/>
          <w:sz w:val="20"/>
        </w:rPr>
        <w:t xml:space="preserve"> of canned seafood. While </w:t>
      </w:r>
      <w:r w:rsidRPr="00AD1105">
        <w:rPr>
          <w:rFonts w:ascii="Arial" w:hAnsi="Arial" w:cs="Arial"/>
          <w:sz w:val="20"/>
        </w:rPr>
        <w:t>fresh seafood posted dollar gains and frozen remained flat, both largely driven by inflation as pound sales declined.</w:t>
      </w:r>
    </w:p>
    <w:p w14:paraId="6D47CEE6" w14:textId="77777777" w:rsidR="00AD1105" w:rsidRPr="006F697A" w:rsidRDefault="00AD1105" w:rsidP="00BB587C">
      <w:pPr>
        <w:pStyle w:val="NoSpacing"/>
        <w:rPr>
          <w:rFonts w:ascii="Arial" w:hAnsi="Arial" w:cs="Arial"/>
          <w:color w:val="7F7F7F" w:themeColor="text1" w:themeTint="80"/>
          <w:sz w:val="8"/>
          <w:szCs w:val="12"/>
        </w:rPr>
      </w:pPr>
    </w:p>
    <w:tbl>
      <w:tblPr>
        <w:tblStyle w:val="LightShading-Accent5"/>
        <w:tblW w:w="10303" w:type="dxa"/>
        <w:tblBorders>
          <w:top w:val="none" w:sz="0" w:space="0" w:color="auto"/>
          <w:bottom w:val="none" w:sz="0" w:space="0" w:color="auto"/>
        </w:tblBorders>
        <w:tblLayout w:type="fixed"/>
        <w:tblLook w:val="04A0" w:firstRow="1" w:lastRow="0" w:firstColumn="1" w:lastColumn="0" w:noHBand="0" w:noVBand="1"/>
      </w:tblPr>
      <w:tblGrid>
        <w:gridCol w:w="1890"/>
        <w:gridCol w:w="990"/>
        <w:gridCol w:w="853"/>
        <w:gridCol w:w="913"/>
        <w:gridCol w:w="883"/>
        <w:gridCol w:w="882"/>
        <w:gridCol w:w="973"/>
        <w:gridCol w:w="973"/>
        <w:gridCol w:w="973"/>
        <w:gridCol w:w="973"/>
      </w:tblGrid>
      <w:tr w:rsidR="00C853F3" w:rsidRPr="00BC7615" w14:paraId="4583C2C6" w14:textId="77777777" w:rsidTr="00E35BCC">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90" w:type="dxa"/>
            <w:tcBorders>
              <w:top w:val="none" w:sz="0" w:space="0" w:color="auto"/>
              <w:bottom w:val="none" w:sz="0" w:space="0" w:color="auto"/>
            </w:tcBorders>
            <w:shd w:val="clear" w:color="auto" w:fill="17365D" w:themeFill="text2" w:themeFillShade="BF"/>
            <w:noWrap/>
          </w:tcPr>
          <w:p w14:paraId="0FEF2A85" w14:textId="77777777" w:rsidR="00C853F3" w:rsidRPr="00BC7615" w:rsidRDefault="00C853F3" w:rsidP="00C853F3">
            <w:pPr>
              <w:jc w:val="center"/>
              <w:rPr>
                <w:rFonts w:ascii="Arial" w:eastAsia="Times New Roman" w:hAnsi="Arial" w:cs="Arial"/>
                <w:bCs w:val="0"/>
                <w:color w:val="FFFFFF" w:themeColor="background1"/>
                <w:sz w:val="18"/>
                <w:szCs w:val="18"/>
              </w:rPr>
            </w:pPr>
          </w:p>
        </w:tc>
        <w:tc>
          <w:tcPr>
            <w:tcW w:w="4521" w:type="dxa"/>
            <w:gridSpan w:val="5"/>
            <w:tcBorders>
              <w:top w:val="none" w:sz="0" w:space="0" w:color="auto"/>
              <w:bottom w:val="none" w:sz="0" w:space="0" w:color="auto"/>
              <w:right w:val="none" w:sz="0" w:space="0" w:color="auto"/>
            </w:tcBorders>
            <w:shd w:val="clear" w:color="auto" w:fill="17365D" w:themeFill="text2" w:themeFillShade="BF"/>
          </w:tcPr>
          <w:p w14:paraId="653EE211" w14:textId="1513BD93" w:rsidR="00C853F3" w:rsidRPr="00BC7615" w:rsidRDefault="00F60945"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hAnsi="Arial" w:cs="Arial"/>
                <w:color w:val="FFFFFF" w:themeColor="background1"/>
                <w:sz w:val="18"/>
                <w:szCs w:val="18"/>
              </w:rPr>
              <w:t>November 2025</w:t>
            </w:r>
          </w:p>
        </w:tc>
        <w:tc>
          <w:tcPr>
            <w:tcW w:w="3892" w:type="dxa"/>
            <w:gridSpan w:val="4"/>
            <w:tcBorders>
              <w:top w:val="none" w:sz="0" w:space="0" w:color="auto"/>
              <w:left w:val="none" w:sz="0" w:space="0" w:color="auto"/>
              <w:bottom w:val="none" w:sz="0" w:space="0" w:color="auto"/>
            </w:tcBorders>
            <w:shd w:val="clear" w:color="auto" w:fill="17365D" w:themeFill="text2" w:themeFillShade="BF"/>
          </w:tcPr>
          <w:p w14:paraId="38739765" w14:textId="5C6A4592" w:rsidR="00C853F3" w:rsidRPr="00BC7615" w:rsidRDefault="00C853F3"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color w:val="FFFFFF" w:themeColor="background1"/>
                <w:sz w:val="18"/>
                <w:szCs w:val="18"/>
              </w:rPr>
              <w:t>Latest 52 weeks</w:t>
            </w:r>
          </w:p>
        </w:tc>
      </w:tr>
      <w:tr w:rsidR="00577D24" w:rsidRPr="00BC7615" w14:paraId="1B2E4D0E" w14:textId="77777777" w:rsidTr="00E35BCC">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noWrap/>
            <w:hideMark/>
          </w:tcPr>
          <w:p w14:paraId="6AD411E6" w14:textId="77777777" w:rsidR="00577D24" w:rsidRPr="00BC7615" w:rsidRDefault="00577D24" w:rsidP="0068426D">
            <w:pPr>
              <w:rPr>
                <w:rFonts w:ascii="Arial" w:eastAsia="Times New Roman" w:hAnsi="Arial" w:cs="Arial"/>
                <w:b w:val="0"/>
                <w:bCs w:val="0"/>
                <w:color w:val="FFFFFF" w:themeColor="background1"/>
                <w:sz w:val="18"/>
                <w:szCs w:val="18"/>
              </w:rPr>
            </w:pPr>
          </w:p>
        </w:tc>
        <w:tc>
          <w:tcPr>
            <w:tcW w:w="990" w:type="dxa"/>
            <w:tcBorders>
              <w:right w:val="none" w:sz="0" w:space="0" w:color="auto"/>
            </w:tcBorders>
            <w:shd w:val="clear" w:color="auto" w:fill="17365D" w:themeFill="text2" w:themeFillShade="BF"/>
          </w:tcPr>
          <w:p w14:paraId="64BF9AF1"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25A7E918"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tcBorders>
              <w:left w:val="none" w:sz="0" w:space="0" w:color="auto"/>
              <w:right w:val="none" w:sz="0" w:space="0" w:color="auto"/>
            </w:tcBorders>
            <w:shd w:val="clear" w:color="auto" w:fill="17365D" w:themeFill="text2" w:themeFillShade="BF"/>
          </w:tcPr>
          <w:p w14:paraId="35A5F38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3A7BF8D4"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left w:val="none" w:sz="0" w:space="0" w:color="auto"/>
              <w:right w:val="none" w:sz="0" w:space="0" w:color="auto"/>
            </w:tcBorders>
            <w:shd w:val="clear" w:color="auto" w:fill="17365D" w:themeFill="text2" w:themeFillShade="BF"/>
          </w:tcPr>
          <w:p w14:paraId="4105A9BE" w14:textId="471B3D72"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17365D" w:themeFill="text2" w:themeFillShade="BF"/>
          </w:tcPr>
          <w:p w14:paraId="114DB7DE" w14:textId="2B697F28" w:rsidR="00577D24" w:rsidRPr="00BC7615" w:rsidRDefault="00B739E9"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882" w:type="dxa"/>
            <w:tcBorders>
              <w:left w:val="none" w:sz="0" w:space="0" w:color="auto"/>
              <w:right w:val="none" w:sz="0" w:space="0" w:color="auto"/>
            </w:tcBorders>
            <w:shd w:val="clear" w:color="auto" w:fill="17365D" w:themeFill="text2" w:themeFillShade="BF"/>
          </w:tcPr>
          <w:p w14:paraId="6D936AF4" w14:textId="6605B857"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proofErr w:type="spellStart"/>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t>vs</w:t>
            </w:r>
            <w:proofErr w:type="spellEnd"/>
            <w:r w:rsidR="00577D24" w:rsidRPr="00BC7615">
              <w:rPr>
                <w:rFonts w:ascii="Arial" w:eastAsia="Times New Roman" w:hAnsi="Arial" w:cs="Arial"/>
                <w:color w:val="FFFFFF" w:themeColor="background1"/>
                <w:sz w:val="18"/>
                <w:szCs w:val="20"/>
              </w:rPr>
              <w:t xml:space="preserve">. </w:t>
            </w:r>
            <w:r w:rsidR="00177D00">
              <w:rPr>
                <w:rFonts w:ascii="Arial" w:eastAsia="Times New Roman" w:hAnsi="Arial" w:cs="Arial"/>
                <w:color w:val="FFFFFF" w:themeColor="background1"/>
                <w:sz w:val="18"/>
                <w:szCs w:val="20"/>
              </w:rPr>
              <w:t>2</w:t>
            </w:r>
            <w:r w:rsidR="00577D24" w:rsidRPr="00BC7615">
              <w:rPr>
                <w:rFonts w:ascii="Arial" w:eastAsia="Times New Roman" w:hAnsi="Arial" w:cs="Arial"/>
                <w:color w:val="FFFFFF" w:themeColor="background1"/>
                <w:sz w:val="18"/>
                <w:szCs w:val="20"/>
              </w:rPr>
              <w:t>YA</w:t>
            </w:r>
          </w:p>
        </w:tc>
        <w:tc>
          <w:tcPr>
            <w:tcW w:w="973" w:type="dxa"/>
            <w:tcBorders>
              <w:left w:val="none" w:sz="0" w:space="0" w:color="auto"/>
              <w:right w:val="none" w:sz="0" w:space="0" w:color="auto"/>
            </w:tcBorders>
            <w:shd w:val="clear" w:color="auto" w:fill="17365D" w:themeFill="text2" w:themeFillShade="BF"/>
          </w:tcPr>
          <w:p w14:paraId="4B7B126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4B7D7AFE" w14:textId="77777777"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73" w:type="dxa"/>
            <w:tcBorders>
              <w:left w:val="none" w:sz="0" w:space="0" w:color="auto"/>
              <w:right w:val="none" w:sz="0" w:space="0" w:color="auto"/>
            </w:tcBorders>
            <w:shd w:val="clear" w:color="auto" w:fill="17365D" w:themeFill="text2" w:themeFillShade="BF"/>
          </w:tcPr>
          <w:p w14:paraId="27E434FF" w14:textId="45B29090"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2Y</w:t>
            </w:r>
            <w:r w:rsidRPr="00BC7615">
              <w:rPr>
                <w:rFonts w:ascii="Arial" w:eastAsia="Times New Roman" w:hAnsi="Arial" w:cs="Arial"/>
                <w:color w:val="FFFFFF" w:themeColor="background1"/>
                <w:sz w:val="18"/>
                <w:szCs w:val="20"/>
              </w:rPr>
              <w:t>A</w:t>
            </w:r>
          </w:p>
        </w:tc>
        <w:tc>
          <w:tcPr>
            <w:tcW w:w="973" w:type="dxa"/>
            <w:tcBorders>
              <w:left w:val="none" w:sz="0" w:space="0" w:color="auto"/>
              <w:right w:val="none" w:sz="0" w:space="0" w:color="auto"/>
            </w:tcBorders>
            <w:shd w:val="clear" w:color="auto" w:fill="17365D" w:themeFill="text2" w:themeFillShade="BF"/>
          </w:tcPr>
          <w:p w14:paraId="78D1E27D" w14:textId="0DB6DEAE"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973" w:type="dxa"/>
            <w:tcBorders>
              <w:left w:val="none" w:sz="0" w:space="0" w:color="auto"/>
            </w:tcBorders>
            <w:shd w:val="clear" w:color="auto" w:fill="17365D" w:themeFill="text2" w:themeFillShade="BF"/>
            <w:vAlign w:val="bottom"/>
          </w:tcPr>
          <w:p w14:paraId="26EADD08" w14:textId="67E850F3"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Pounds </w:t>
            </w:r>
            <w:r w:rsidR="00577D24" w:rsidRPr="00BC7615">
              <w:rPr>
                <w:rFonts w:ascii="Arial" w:hAnsi="Arial" w:cs="Arial"/>
                <w:color w:val="FFFFFF" w:themeColor="background1"/>
                <w:sz w:val="18"/>
                <w:szCs w:val="18"/>
              </w:rPr>
              <w:t xml:space="preserve">vs. </w:t>
            </w:r>
            <w:r w:rsidR="00177D00">
              <w:rPr>
                <w:rFonts w:ascii="Arial" w:hAnsi="Arial" w:cs="Arial"/>
                <w:color w:val="FFFFFF" w:themeColor="background1"/>
                <w:sz w:val="18"/>
                <w:szCs w:val="18"/>
              </w:rPr>
              <w:t>2</w:t>
            </w:r>
            <w:r w:rsidR="00577D24" w:rsidRPr="00BC7615">
              <w:rPr>
                <w:rFonts w:ascii="Arial" w:hAnsi="Arial" w:cs="Arial"/>
                <w:color w:val="FFFFFF" w:themeColor="background1"/>
                <w:sz w:val="18"/>
                <w:szCs w:val="18"/>
              </w:rPr>
              <w:t>YA</w:t>
            </w:r>
          </w:p>
        </w:tc>
      </w:tr>
      <w:tr w:rsidR="00E35BCC" w:rsidRPr="001C710E" w14:paraId="33FBC25F" w14:textId="77777777" w:rsidTr="00E35BCC">
        <w:trPr>
          <w:trHeight w:val="113"/>
        </w:trPr>
        <w:tc>
          <w:tcPr>
            <w:cnfStyle w:val="001000000000" w:firstRow="0" w:lastRow="0" w:firstColumn="1" w:lastColumn="0" w:oddVBand="0" w:evenVBand="0" w:oddHBand="0" w:evenHBand="0" w:firstRowFirstColumn="0" w:firstRowLastColumn="0" w:lastRowFirstColumn="0" w:lastRowLastColumn="0"/>
            <w:tcW w:w="1890" w:type="dxa"/>
            <w:noWrap/>
          </w:tcPr>
          <w:p w14:paraId="5A4EE10F" w14:textId="53228874" w:rsidR="00E35BCC" w:rsidRPr="00E35BCC" w:rsidRDefault="00E35BCC" w:rsidP="00E35BCC">
            <w:pPr>
              <w:rPr>
                <w:rFonts w:ascii="Arial" w:eastAsia="Times New Roman" w:hAnsi="Arial" w:cs="Arial"/>
                <w:b w:val="0"/>
                <w:color w:val="000000" w:themeColor="text1"/>
                <w:sz w:val="18"/>
                <w:szCs w:val="18"/>
              </w:rPr>
            </w:pPr>
            <w:r w:rsidRPr="00E35BCC">
              <w:rPr>
                <w:rFonts w:ascii="Arial" w:eastAsia="Times New Roman" w:hAnsi="Arial" w:cs="Arial"/>
                <w:b w:val="0"/>
                <w:color w:val="000000" w:themeColor="text1"/>
                <w:sz w:val="18"/>
                <w:szCs w:val="18"/>
              </w:rPr>
              <w:t>Fresh seafood</w:t>
            </w:r>
          </w:p>
        </w:tc>
        <w:tc>
          <w:tcPr>
            <w:tcW w:w="990" w:type="dxa"/>
            <w:vAlign w:val="bottom"/>
          </w:tcPr>
          <w:p w14:paraId="1F1CE786" w14:textId="494C26BC" w:rsidR="00E35BCC" w:rsidRPr="00E35BCC" w:rsidRDefault="00E35BCC" w:rsidP="00E35BC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35BCC">
              <w:rPr>
                <w:rFonts w:ascii="Arial" w:hAnsi="Arial" w:cs="Arial"/>
                <w:color w:val="000000"/>
                <w:sz w:val="18"/>
                <w:szCs w:val="18"/>
              </w:rPr>
              <w:t>$606.3M</w:t>
            </w:r>
          </w:p>
        </w:tc>
        <w:tc>
          <w:tcPr>
            <w:tcW w:w="853" w:type="dxa"/>
            <w:vAlign w:val="bottom"/>
          </w:tcPr>
          <w:p w14:paraId="32EAC8D0" w14:textId="3A7AF7B1" w:rsidR="00E35BCC" w:rsidRPr="00E35BCC" w:rsidRDefault="00E35BCC" w:rsidP="00E35B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Pr="00E35BCC">
              <w:rPr>
                <w:rFonts w:ascii="Arial" w:hAnsi="Arial" w:cs="Arial"/>
                <w:color w:val="000000"/>
                <w:sz w:val="18"/>
                <w:szCs w:val="18"/>
              </w:rPr>
              <w:t>1.3%</w:t>
            </w:r>
          </w:p>
        </w:tc>
        <w:tc>
          <w:tcPr>
            <w:tcW w:w="913" w:type="dxa"/>
            <w:vAlign w:val="bottom"/>
          </w:tcPr>
          <w:p w14:paraId="742691D3" w14:textId="53AC635E" w:rsidR="00E35BCC" w:rsidRPr="00E35BCC" w:rsidRDefault="00E35BCC" w:rsidP="00E35BC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E35BCC">
              <w:rPr>
                <w:rFonts w:ascii="Arial" w:hAnsi="Arial" w:cs="Arial"/>
                <w:color w:val="000000"/>
                <w:sz w:val="18"/>
                <w:szCs w:val="18"/>
              </w:rPr>
              <w:t>3.3%</w:t>
            </w:r>
          </w:p>
        </w:tc>
        <w:tc>
          <w:tcPr>
            <w:tcW w:w="883" w:type="dxa"/>
            <w:vAlign w:val="bottom"/>
          </w:tcPr>
          <w:p w14:paraId="06B549B0" w14:textId="0F90129D" w:rsidR="00E35BCC" w:rsidRPr="00E35BCC" w:rsidRDefault="00E35BCC" w:rsidP="00E35BC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35BCC">
              <w:rPr>
                <w:rFonts w:ascii="Arial" w:hAnsi="Arial" w:cs="Arial"/>
                <w:color w:val="000000"/>
                <w:sz w:val="18"/>
                <w:szCs w:val="18"/>
              </w:rPr>
              <w:t>-2.6%</w:t>
            </w:r>
          </w:p>
        </w:tc>
        <w:tc>
          <w:tcPr>
            <w:tcW w:w="882" w:type="dxa"/>
            <w:tcBorders>
              <w:right w:val="single" w:sz="4" w:space="0" w:color="31849B" w:themeColor="accent5" w:themeShade="BF"/>
            </w:tcBorders>
            <w:vAlign w:val="bottom"/>
          </w:tcPr>
          <w:p w14:paraId="73D88621" w14:textId="5AEBEBA8" w:rsidR="00E35BCC" w:rsidRPr="00E35BCC" w:rsidRDefault="00E35BCC" w:rsidP="00E35BCC">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35BCC">
              <w:rPr>
                <w:rFonts w:ascii="Arial" w:hAnsi="Arial" w:cs="Arial"/>
                <w:color w:val="000000"/>
                <w:sz w:val="18"/>
                <w:szCs w:val="18"/>
              </w:rPr>
              <w:t>-1.6%</w:t>
            </w:r>
          </w:p>
        </w:tc>
        <w:tc>
          <w:tcPr>
            <w:tcW w:w="973" w:type="dxa"/>
            <w:tcBorders>
              <w:left w:val="single" w:sz="4" w:space="0" w:color="31849B" w:themeColor="accent5" w:themeShade="BF"/>
            </w:tcBorders>
            <w:vAlign w:val="bottom"/>
          </w:tcPr>
          <w:p w14:paraId="549E8BBC" w14:textId="7D2AC7A9" w:rsidR="00E35BCC" w:rsidRPr="00E35BCC" w:rsidRDefault="00E35BCC" w:rsidP="00E35BCC">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E35BCC">
              <w:rPr>
                <w:rFonts w:ascii="Arial" w:hAnsi="Arial" w:cs="Arial"/>
                <w:color w:val="000000"/>
                <w:sz w:val="18"/>
                <w:szCs w:val="18"/>
              </w:rPr>
              <w:t>1.3%</w:t>
            </w:r>
          </w:p>
        </w:tc>
        <w:tc>
          <w:tcPr>
            <w:tcW w:w="973" w:type="dxa"/>
            <w:vAlign w:val="bottom"/>
          </w:tcPr>
          <w:p w14:paraId="61638CED" w14:textId="4C6B074B" w:rsidR="00E35BCC" w:rsidRPr="00E35BCC" w:rsidRDefault="00E35BCC" w:rsidP="00E35BCC">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35BCC">
              <w:rPr>
                <w:rFonts w:ascii="Arial" w:hAnsi="Arial" w:cs="Arial"/>
                <w:color w:val="000000"/>
                <w:sz w:val="18"/>
                <w:szCs w:val="18"/>
              </w:rPr>
              <w:t>-1.5%</w:t>
            </w:r>
          </w:p>
        </w:tc>
        <w:tc>
          <w:tcPr>
            <w:tcW w:w="973" w:type="dxa"/>
            <w:vAlign w:val="bottom"/>
          </w:tcPr>
          <w:p w14:paraId="432253F0" w14:textId="7A84A130" w:rsidR="00E35BCC" w:rsidRPr="00E35BCC" w:rsidRDefault="00E35BCC" w:rsidP="00E35BCC">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E35BCC">
              <w:rPr>
                <w:rFonts w:ascii="Arial" w:hAnsi="Arial" w:cs="Arial"/>
                <w:color w:val="000000"/>
                <w:sz w:val="18"/>
                <w:szCs w:val="18"/>
              </w:rPr>
              <w:t>-1.0%</w:t>
            </w:r>
          </w:p>
        </w:tc>
        <w:tc>
          <w:tcPr>
            <w:tcW w:w="973" w:type="dxa"/>
            <w:vAlign w:val="bottom"/>
          </w:tcPr>
          <w:p w14:paraId="16FAF0FC" w14:textId="2BAF878A" w:rsidR="00E35BCC" w:rsidRPr="00E35BCC" w:rsidRDefault="00E35BCC" w:rsidP="00E35BCC">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35BCC">
              <w:rPr>
                <w:rFonts w:ascii="Arial" w:hAnsi="Arial" w:cs="Arial"/>
                <w:color w:val="000000"/>
                <w:sz w:val="18"/>
                <w:szCs w:val="18"/>
              </w:rPr>
              <w:t>-2.8%</w:t>
            </w:r>
          </w:p>
        </w:tc>
      </w:tr>
      <w:tr w:rsidR="00E35BCC" w:rsidRPr="001C710E" w14:paraId="63E619E4" w14:textId="77777777" w:rsidTr="00E35BCC">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90" w:type="dxa"/>
            <w:shd w:val="clear" w:color="auto" w:fill="D9D9D9" w:themeFill="background1" w:themeFillShade="D9"/>
            <w:noWrap/>
          </w:tcPr>
          <w:p w14:paraId="5C5C93A5" w14:textId="3375483C" w:rsidR="00E35BCC" w:rsidRPr="00E35BCC" w:rsidRDefault="00E35BCC" w:rsidP="00E35BCC">
            <w:pPr>
              <w:rPr>
                <w:rFonts w:ascii="Arial" w:eastAsia="Times New Roman" w:hAnsi="Arial" w:cs="Arial"/>
                <w:b w:val="0"/>
                <w:color w:val="000000" w:themeColor="text1"/>
                <w:sz w:val="18"/>
                <w:szCs w:val="18"/>
                <w:highlight w:val="yellow"/>
              </w:rPr>
            </w:pPr>
            <w:r w:rsidRPr="00E35BCC">
              <w:rPr>
                <w:rFonts w:ascii="Arial" w:eastAsia="Times New Roman" w:hAnsi="Arial" w:cs="Arial"/>
                <w:b w:val="0"/>
                <w:color w:val="000000" w:themeColor="text1"/>
                <w:sz w:val="18"/>
                <w:szCs w:val="18"/>
              </w:rPr>
              <w:t>Frozen seafood</w:t>
            </w:r>
          </w:p>
        </w:tc>
        <w:tc>
          <w:tcPr>
            <w:tcW w:w="990" w:type="dxa"/>
            <w:shd w:val="clear" w:color="auto" w:fill="D9D9D9" w:themeFill="background1" w:themeFillShade="D9"/>
            <w:vAlign w:val="bottom"/>
          </w:tcPr>
          <w:p w14:paraId="669918AD" w14:textId="59110A8C" w:rsidR="00E35BCC" w:rsidRPr="00E35BCC" w:rsidRDefault="00E35BCC" w:rsidP="00E35BC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E35BCC">
              <w:rPr>
                <w:rFonts w:ascii="Arial" w:hAnsi="Arial" w:cs="Arial"/>
                <w:color w:val="000000"/>
                <w:sz w:val="18"/>
                <w:szCs w:val="18"/>
              </w:rPr>
              <w:t>$568.9M</w:t>
            </w:r>
          </w:p>
        </w:tc>
        <w:tc>
          <w:tcPr>
            <w:tcW w:w="853" w:type="dxa"/>
            <w:shd w:val="clear" w:color="auto" w:fill="D9D9D9" w:themeFill="background1" w:themeFillShade="D9"/>
            <w:vAlign w:val="bottom"/>
          </w:tcPr>
          <w:p w14:paraId="1A5488BB" w14:textId="1A7D1213" w:rsidR="00E35BCC" w:rsidRPr="00E35BCC" w:rsidRDefault="00E35BCC" w:rsidP="00E35BC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Pr="00E35BCC">
              <w:rPr>
                <w:rFonts w:ascii="Arial" w:hAnsi="Arial" w:cs="Arial"/>
                <w:color w:val="000000"/>
                <w:sz w:val="18"/>
                <w:szCs w:val="18"/>
              </w:rPr>
              <w:t>0.1%</w:t>
            </w:r>
          </w:p>
        </w:tc>
        <w:tc>
          <w:tcPr>
            <w:tcW w:w="913" w:type="dxa"/>
            <w:shd w:val="clear" w:color="auto" w:fill="D9D9D9" w:themeFill="background1" w:themeFillShade="D9"/>
            <w:vAlign w:val="bottom"/>
          </w:tcPr>
          <w:p w14:paraId="380E2648" w14:textId="176CFAC5" w:rsidR="00E35BCC" w:rsidRPr="00E35BCC" w:rsidRDefault="00E35BCC" w:rsidP="00E35BC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E35BCC">
              <w:rPr>
                <w:rFonts w:ascii="Arial" w:hAnsi="Arial" w:cs="Arial"/>
                <w:color w:val="000000"/>
                <w:sz w:val="18"/>
                <w:szCs w:val="18"/>
              </w:rPr>
              <w:t>1.7%</w:t>
            </w:r>
          </w:p>
        </w:tc>
        <w:tc>
          <w:tcPr>
            <w:tcW w:w="883" w:type="dxa"/>
            <w:shd w:val="clear" w:color="auto" w:fill="D9D9D9" w:themeFill="background1" w:themeFillShade="D9"/>
            <w:vAlign w:val="bottom"/>
          </w:tcPr>
          <w:p w14:paraId="11DF626A" w14:textId="054BC345" w:rsidR="00E35BCC" w:rsidRPr="00E35BCC" w:rsidRDefault="00E35BCC" w:rsidP="00E35BC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35BCC">
              <w:rPr>
                <w:rFonts w:ascii="Arial" w:hAnsi="Arial" w:cs="Arial"/>
                <w:color w:val="000000"/>
                <w:sz w:val="18"/>
                <w:szCs w:val="18"/>
              </w:rPr>
              <w:t>-6.4%</w:t>
            </w:r>
          </w:p>
        </w:tc>
        <w:tc>
          <w:tcPr>
            <w:tcW w:w="882" w:type="dxa"/>
            <w:tcBorders>
              <w:right w:val="single" w:sz="4" w:space="0" w:color="31849B" w:themeColor="accent5" w:themeShade="BF"/>
            </w:tcBorders>
            <w:shd w:val="clear" w:color="auto" w:fill="D9D9D9" w:themeFill="background1" w:themeFillShade="D9"/>
            <w:vAlign w:val="bottom"/>
          </w:tcPr>
          <w:p w14:paraId="41CF3035" w14:textId="71053376" w:rsidR="00E35BCC" w:rsidRPr="00E35BCC" w:rsidRDefault="00E35BCC" w:rsidP="00E35BCC">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35BCC">
              <w:rPr>
                <w:rFonts w:ascii="Arial" w:hAnsi="Arial" w:cs="Arial"/>
                <w:color w:val="000000"/>
                <w:sz w:val="18"/>
                <w:szCs w:val="18"/>
              </w:rPr>
              <w:t>-3.7%</w:t>
            </w:r>
          </w:p>
        </w:tc>
        <w:tc>
          <w:tcPr>
            <w:tcW w:w="973" w:type="dxa"/>
            <w:tcBorders>
              <w:left w:val="single" w:sz="4" w:space="0" w:color="31849B" w:themeColor="accent5" w:themeShade="BF"/>
            </w:tcBorders>
            <w:shd w:val="clear" w:color="auto" w:fill="D9D9D9" w:themeFill="background1" w:themeFillShade="D9"/>
            <w:vAlign w:val="bottom"/>
          </w:tcPr>
          <w:p w14:paraId="447947D5" w14:textId="6D3A9886" w:rsidR="00E35BCC" w:rsidRPr="00E35BCC" w:rsidRDefault="00E35BCC" w:rsidP="00E35BCC">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E35BCC">
              <w:rPr>
                <w:rFonts w:ascii="Arial" w:hAnsi="Arial" w:cs="Arial"/>
                <w:color w:val="000000"/>
                <w:sz w:val="18"/>
                <w:szCs w:val="18"/>
              </w:rPr>
              <w:t>1.0%</w:t>
            </w:r>
          </w:p>
        </w:tc>
        <w:tc>
          <w:tcPr>
            <w:tcW w:w="973" w:type="dxa"/>
            <w:shd w:val="clear" w:color="auto" w:fill="D9D9D9" w:themeFill="background1" w:themeFillShade="D9"/>
            <w:vAlign w:val="bottom"/>
          </w:tcPr>
          <w:p w14:paraId="7BC58367" w14:textId="43F04851" w:rsidR="00E35BCC" w:rsidRPr="00E35BCC" w:rsidRDefault="00E35BCC" w:rsidP="00E35BCC">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35BCC">
              <w:rPr>
                <w:rFonts w:ascii="Arial" w:hAnsi="Arial" w:cs="Arial"/>
                <w:color w:val="000000"/>
                <w:sz w:val="18"/>
                <w:szCs w:val="18"/>
              </w:rPr>
              <w:t>-1.4%</w:t>
            </w:r>
          </w:p>
        </w:tc>
        <w:tc>
          <w:tcPr>
            <w:tcW w:w="973" w:type="dxa"/>
            <w:shd w:val="clear" w:color="auto" w:fill="D9D9D9" w:themeFill="background1" w:themeFillShade="D9"/>
            <w:vAlign w:val="bottom"/>
          </w:tcPr>
          <w:p w14:paraId="634EFC21" w14:textId="0843018B" w:rsidR="00E35BCC" w:rsidRPr="00E35BCC" w:rsidRDefault="00E35BCC" w:rsidP="00E35BCC">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E35BCC">
              <w:rPr>
                <w:rFonts w:ascii="Arial" w:hAnsi="Arial" w:cs="Arial"/>
                <w:color w:val="000000"/>
                <w:sz w:val="18"/>
                <w:szCs w:val="18"/>
              </w:rPr>
              <w:t>-1.2%</w:t>
            </w:r>
          </w:p>
        </w:tc>
        <w:tc>
          <w:tcPr>
            <w:tcW w:w="973" w:type="dxa"/>
            <w:shd w:val="clear" w:color="auto" w:fill="D9D9D9" w:themeFill="background1" w:themeFillShade="D9"/>
            <w:vAlign w:val="bottom"/>
          </w:tcPr>
          <w:p w14:paraId="682B659D" w14:textId="44906235" w:rsidR="00E35BCC" w:rsidRPr="00E35BCC" w:rsidRDefault="00E35BCC" w:rsidP="00E35BCC">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E35BCC">
              <w:rPr>
                <w:rFonts w:ascii="Arial" w:hAnsi="Arial" w:cs="Arial"/>
                <w:color w:val="000000"/>
                <w:sz w:val="18"/>
                <w:szCs w:val="18"/>
              </w:rPr>
              <w:t>0.6%</w:t>
            </w:r>
          </w:p>
        </w:tc>
      </w:tr>
      <w:tr w:rsidR="00E35BCC" w:rsidRPr="001C710E" w14:paraId="6B623256" w14:textId="77777777" w:rsidTr="00E35BCC">
        <w:trPr>
          <w:trHeight w:val="7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0D7C2236" w14:textId="482E14F8" w:rsidR="00E35BCC" w:rsidRPr="00E35BCC" w:rsidRDefault="00E35BCC" w:rsidP="00E35BCC">
            <w:pPr>
              <w:rPr>
                <w:rFonts w:ascii="Arial" w:eastAsia="Times New Roman" w:hAnsi="Arial" w:cs="Arial"/>
                <w:b w:val="0"/>
                <w:bCs w:val="0"/>
                <w:color w:val="000000" w:themeColor="text1"/>
                <w:sz w:val="18"/>
                <w:szCs w:val="18"/>
                <w:highlight w:val="yellow"/>
              </w:rPr>
            </w:pPr>
            <w:r w:rsidRPr="00E35BCC">
              <w:rPr>
                <w:rFonts w:ascii="Arial" w:eastAsia="Times New Roman" w:hAnsi="Arial" w:cs="Arial"/>
                <w:b w:val="0"/>
                <w:bCs w:val="0"/>
                <w:color w:val="000000" w:themeColor="text1"/>
                <w:sz w:val="18"/>
                <w:szCs w:val="18"/>
              </w:rPr>
              <w:t>Shelf-stable seafood</w:t>
            </w:r>
          </w:p>
        </w:tc>
        <w:tc>
          <w:tcPr>
            <w:tcW w:w="990" w:type="dxa"/>
            <w:vAlign w:val="bottom"/>
          </w:tcPr>
          <w:p w14:paraId="6E39380C" w14:textId="456D99BE" w:rsidR="00E35BCC" w:rsidRPr="00E35BCC" w:rsidRDefault="00E35BCC" w:rsidP="00E35BCC">
            <w:pPr>
              <w:tabs>
                <w:tab w:val="left" w:pos="263"/>
                <w:tab w:val="right" w:pos="666"/>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E35BCC">
              <w:rPr>
                <w:rFonts w:ascii="Arial" w:hAnsi="Arial" w:cs="Arial"/>
                <w:color w:val="000000"/>
                <w:sz w:val="18"/>
                <w:szCs w:val="18"/>
              </w:rPr>
              <w:t>$252.6M</w:t>
            </w:r>
          </w:p>
        </w:tc>
        <w:tc>
          <w:tcPr>
            <w:tcW w:w="853" w:type="dxa"/>
            <w:vAlign w:val="bottom"/>
          </w:tcPr>
          <w:p w14:paraId="24281AAC" w14:textId="4B2B3566" w:rsidR="00E35BCC" w:rsidRPr="00E35BCC" w:rsidRDefault="00E35BCC" w:rsidP="00E35B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Pr="00E35BCC">
              <w:rPr>
                <w:rFonts w:ascii="Arial" w:hAnsi="Arial" w:cs="Arial"/>
                <w:color w:val="000000"/>
                <w:sz w:val="18"/>
                <w:szCs w:val="18"/>
              </w:rPr>
              <w:t>10.1%</w:t>
            </w:r>
          </w:p>
        </w:tc>
        <w:tc>
          <w:tcPr>
            <w:tcW w:w="913" w:type="dxa"/>
            <w:vAlign w:val="bottom"/>
          </w:tcPr>
          <w:p w14:paraId="31940B22" w14:textId="4ADD2771" w:rsidR="00E35BCC" w:rsidRPr="00E35BCC" w:rsidRDefault="00E35BCC" w:rsidP="00E35BC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E35BCC">
              <w:rPr>
                <w:rFonts w:ascii="Arial" w:hAnsi="Arial" w:cs="Arial"/>
                <w:color w:val="000000"/>
                <w:sz w:val="18"/>
                <w:szCs w:val="18"/>
              </w:rPr>
              <w:t>12.7%</w:t>
            </w:r>
          </w:p>
        </w:tc>
        <w:tc>
          <w:tcPr>
            <w:tcW w:w="883" w:type="dxa"/>
            <w:vAlign w:val="bottom"/>
          </w:tcPr>
          <w:p w14:paraId="177BD83E" w14:textId="213EE5A8" w:rsidR="00E35BCC" w:rsidRPr="00E35BCC" w:rsidRDefault="00E35BCC" w:rsidP="00E35BC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E35BCC">
              <w:rPr>
                <w:rFonts w:ascii="Arial" w:hAnsi="Arial" w:cs="Arial"/>
                <w:color w:val="000000"/>
                <w:sz w:val="18"/>
                <w:szCs w:val="18"/>
              </w:rPr>
              <w:t>4.6%</w:t>
            </w:r>
          </w:p>
        </w:tc>
        <w:tc>
          <w:tcPr>
            <w:tcW w:w="882" w:type="dxa"/>
            <w:tcBorders>
              <w:right w:val="single" w:sz="4" w:space="0" w:color="31849B" w:themeColor="accent5" w:themeShade="BF"/>
            </w:tcBorders>
            <w:vAlign w:val="bottom"/>
          </w:tcPr>
          <w:p w14:paraId="0523818B" w14:textId="04FD1C13" w:rsidR="00E35BCC" w:rsidRPr="00E35BCC" w:rsidRDefault="00E35BCC" w:rsidP="00E35BCC">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E35BCC">
              <w:rPr>
                <w:rFonts w:ascii="Arial" w:hAnsi="Arial" w:cs="Arial"/>
                <w:color w:val="000000"/>
                <w:sz w:val="18"/>
                <w:szCs w:val="18"/>
              </w:rPr>
              <w:t>10.9%</w:t>
            </w:r>
          </w:p>
        </w:tc>
        <w:tc>
          <w:tcPr>
            <w:tcW w:w="973" w:type="dxa"/>
            <w:tcBorders>
              <w:left w:val="single" w:sz="4" w:space="0" w:color="31849B" w:themeColor="accent5" w:themeShade="BF"/>
            </w:tcBorders>
            <w:vAlign w:val="bottom"/>
          </w:tcPr>
          <w:p w14:paraId="3E2D5BC2" w14:textId="7BFA4FE0" w:rsidR="00E35BCC" w:rsidRPr="00E35BCC" w:rsidRDefault="00E35BCC" w:rsidP="00E35BCC">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E35BCC">
              <w:rPr>
                <w:rFonts w:ascii="Arial" w:hAnsi="Arial" w:cs="Arial"/>
                <w:color w:val="000000"/>
                <w:sz w:val="18"/>
                <w:szCs w:val="18"/>
              </w:rPr>
              <w:t>1.3%</w:t>
            </w:r>
          </w:p>
        </w:tc>
        <w:tc>
          <w:tcPr>
            <w:tcW w:w="973" w:type="dxa"/>
            <w:vAlign w:val="bottom"/>
          </w:tcPr>
          <w:p w14:paraId="6D25E609" w14:textId="4CD746AD" w:rsidR="00E35BCC" w:rsidRPr="00E35BCC" w:rsidRDefault="00E35BCC" w:rsidP="00E35BCC">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E35BCC">
              <w:rPr>
                <w:rFonts w:ascii="Arial" w:hAnsi="Arial" w:cs="Arial"/>
                <w:color w:val="000000"/>
                <w:sz w:val="18"/>
                <w:szCs w:val="18"/>
              </w:rPr>
              <w:t>3.3%</w:t>
            </w:r>
          </w:p>
        </w:tc>
        <w:tc>
          <w:tcPr>
            <w:tcW w:w="973" w:type="dxa"/>
            <w:vAlign w:val="bottom"/>
          </w:tcPr>
          <w:p w14:paraId="61F6C8D3" w14:textId="79BF2FE3" w:rsidR="00E35BCC" w:rsidRPr="00E35BCC" w:rsidRDefault="00E35BCC" w:rsidP="00E35BCC">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Pr="00E35BCC">
              <w:rPr>
                <w:rFonts w:ascii="Arial" w:hAnsi="Arial" w:cs="Arial"/>
                <w:color w:val="000000"/>
                <w:sz w:val="18"/>
                <w:szCs w:val="18"/>
              </w:rPr>
              <w:t>0.9%</w:t>
            </w:r>
          </w:p>
        </w:tc>
        <w:tc>
          <w:tcPr>
            <w:tcW w:w="973" w:type="dxa"/>
            <w:vAlign w:val="bottom"/>
          </w:tcPr>
          <w:p w14:paraId="538333AC" w14:textId="369D1DE3" w:rsidR="00E35BCC" w:rsidRPr="00E35BCC" w:rsidRDefault="00E35BCC" w:rsidP="00E35BCC">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E35BCC">
              <w:rPr>
                <w:rFonts w:ascii="Arial" w:hAnsi="Arial" w:cs="Arial"/>
                <w:color w:val="000000"/>
                <w:sz w:val="18"/>
                <w:szCs w:val="18"/>
              </w:rPr>
              <w:t>3.9%</w:t>
            </w:r>
          </w:p>
        </w:tc>
      </w:tr>
    </w:tbl>
    <w:p w14:paraId="0708717B" w14:textId="32A38B7D" w:rsidR="00577D24" w:rsidRDefault="00577D24" w:rsidP="002106D5">
      <w:pPr>
        <w:pStyle w:val="NoSpacing"/>
        <w:jc w:val="right"/>
        <w:rPr>
          <w:rFonts w:ascii="Arial" w:hAnsi="Arial" w:cs="Arial"/>
          <w:color w:val="7F7F7F" w:themeColor="text1" w:themeTint="80"/>
          <w:sz w:val="12"/>
          <w:szCs w:val="16"/>
        </w:rPr>
      </w:pPr>
    </w:p>
    <w:p w14:paraId="517511C3" w14:textId="6A95C55F" w:rsidR="00BB587C" w:rsidRDefault="00BB587C" w:rsidP="00BB587C">
      <w:pPr>
        <w:pStyle w:val="NoSpacing"/>
        <w:rPr>
          <w:rFonts w:ascii="Arial" w:hAnsi="Arial" w:cs="Arial"/>
          <w:color w:val="7F7F7F" w:themeColor="text1" w:themeTint="80"/>
          <w:sz w:val="16"/>
          <w:szCs w:val="16"/>
        </w:rPr>
      </w:pPr>
      <w:r w:rsidRPr="00E10FB8">
        <w:rPr>
          <w:rFonts w:ascii="Arial" w:hAnsi="Arial" w:cs="Arial"/>
          <w:color w:val="7F7F7F" w:themeColor="text1" w:themeTint="80"/>
          <w:sz w:val="16"/>
          <w:szCs w:val="16"/>
        </w:rPr>
        <w:t xml:space="preserve">Source: </w:t>
      </w:r>
      <w:proofErr w:type="spellStart"/>
      <w:r w:rsidR="007A44BE">
        <w:rPr>
          <w:rFonts w:ascii="Arial" w:hAnsi="Arial" w:cs="Arial"/>
          <w:color w:val="7F7F7F" w:themeColor="text1" w:themeTint="80"/>
          <w:sz w:val="16"/>
          <w:szCs w:val="16"/>
        </w:rPr>
        <w:t>Circana</w:t>
      </w:r>
      <w:proofErr w:type="spellEnd"/>
      <w:r w:rsidRPr="00E10FB8">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bookmarkEnd w:id="6"/>
    <w:p w14:paraId="0CE4B05A" w14:textId="3E42240F" w:rsidR="00311F4B" w:rsidRDefault="00311F4B" w:rsidP="00AD60E2">
      <w:pPr>
        <w:pStyle w:val="NoSpacing"/>
        <w:rPr>
          <w:rFonts w:ascii="Arial" w:hAnsi="Arial" w:cs="Arial"/>
          <w:b/>
          <w:color w:val="595959" w:themeColor="text1" w:themeTint="A6"/>
          <w:sz w:val="24"/>
          <w:szCs w:val="20"/>
        </w:rPr>
      </w:pPr>
    </w:p>
    <w:p w14:paraId="510A6CFD" w14:textId="3BB8BDC8" w:rsidR="004B06AE" w:rsidRPr="00C24355" w:rsidRDefault="004B06AE" w:rsidP="00AD60E2">
      <w:pPr>
        <w:pStyle w:val="NoSpacing"/>
        <w:rPr>
          <w:rFonts w:ascii="Arial" w:hAnsi="Arial" w:cs="Arial"/>
          <w:b/>
          <w:color w:val="00857C"/>
          <w:sz w:val="24"/>
          <w:szCs w:val="20"/>
        </w:rPr>
      </w:pPr>
      <w:r w:rsidRPr="00C24355">
        <w:rPr>
          <w:rFonts w:ascii="Arial" w:hAnsi="Arial" w:cs="Arial"/>
          <w:b/>
          <w:color w:val="00857C"/>
          <w:sz w:val="24"/>
          <w:szCs w:val="20"/>
        </w:rPr>
        <w:t>Ambient Seafood</w:t>
      </w:r>
      <w:r w:rsidR="002760EE" w:rsidRPr="00C24355">
        <w:rPr>
          <w:rFonts w:ascii="Arial" w:hAnsi="Arial" w:cs="Arial"/>
          <w:b/>
          <w:color w:val="00857C"/>
          <w:sz w:val="24"/>
          <w:szCs w:val="20"/>
        </w:rPr>
        <w:t xml:space="preserve"> </w:t>
      </w:r>
    </w:p>
    <w:p w14:paraId="4514F12D" w14:textId="53448158" w:rsidR="00A94364" w:rsidRDefault="003F2537" w:rsidP="00456776">
      <w:pPr>
        <w:pStyle w:val="NoSpacing"/>
        <w:ind w:right="11"/>
        <w:rPr>
          <w:rFonts w:ascii="Arial" w:hAnsi="Arial" w:cs="Arial"/>
          <w:sz w:val="20"/>
        </w:rPr>
      </w:pPr>
      <w:r>
        <w:rPr>
          <w:rFonts w:ascii="Arial" w:hAnsi="Arial" w:cs="Arial"/>
          <w:sz w:val="20"/>
        </w:rPr>
        <w:t>Seafood</w:t>
      </w:r>
      <w:r w:rsidR="006F697A">
        <w:rPr>
          <w:rFonts w:ascii="Arial" w:hAnsi="Arial" w:cs="Arial"/>
          <w:sz w:val="20"/>
        </w:rPr>
        <w:t xml:space="preserve"> </w:t>
      </w:r>
      <w:r w:rsidR="00E85751">
        <w:rPr>
          <w:rFonts w:ascii="Arial" w:hAnsi="Arial" w:cs="Arial"/>
          <w:sz w:val="20"/>
        </w:rPr>
        <w:t>c</w:t>
      </w:r>
      <w:r w:rsidR="00685A53">
        <w:rPr>
          <w:rFonts w:ascii="Arial" w:hAnsi="Arial" w:cs="Arial"/>
          <w:sz w:val="20"/>
        </w:rPr>
        <w:t>ans and pouches</w:t>
      </w:r>
      <w:r w:rsidR="000B0F9C">
        <w:rPr>
          <w:rFonts w:ascii="Arial" w:hAnsi="Arial" w:cs="Arial"/>
          <w:sz w:val="20"/>
        </w:rPr>
        <w:t xml:space="preserve"> generated </w:t>
      </w:r>
      <w:r w:rsidR="00685A53">
        <w:rPr>
          <w:rFonts w:ascii="Arial" w:hAnsi="Arial" w:cs="Arial"/>
          <w:sz w:val="20"/>
        </w:rPr>
        <w:t>$</w:t>
      </w:r>
      <w:r w:rsidR="00250D03">
        <w:rPr>
          <w:rFonts w:ascii="Arial" w:hAnsi="Arial" w:cs="Arial"/>
          <w:sz w:val="20"/>
        </w:rPr>
        <w:t>253</w:t>
      </w:r>
      <w:r w:rsidR="00685A53">
        <w:rPr>
          <w:rFonts w:ascii="Arial" w:hAnsi="Arial" w:cs="Arial"/>
          <w:sz w:val="20"/>
        </w:rPr>
        <w:t xml:space="preserve"> million</w:t>
      </w:r>
      <w:r w:rsidR="000B0F9C">
        <w:rPr>
          <w:rFonts w:ascii="Arial" w:hAnsi="Arial" w:cs="Arial"/>
          <w:sz w:val="20"/>
        </w:rPr>
        <w:t xml:space="preserve"> in </w:t>
      </w:r>
      <w:r w:rsidR="00C75C35">
        <w:rPr>
          <w:rFonts w:ascii="Arial" w:hAnsi="Arial" w:cs="Arial"/>
          <w:sz w:val="20"/>
        </w:rPr>
        <w:t>the f</w:t>
      </w:r>
      <w:r w:rsidR="00250D03">
        <w:rPr>
          <w:rFonts w:ascii="Arial" w:hAnsi="Arial" w:cs="Arial"/>
          <w:sz w:val="20"/>
        </w:rPr>
        <w:t>our</w:t>
      </w:r>
      <w:r w:rsidR="00C75C35">
        <w:rPr>
          <w:rFonts w:ascii="Arial" w:hAnsi="Arial" w:cs="Arial"/>
          <w:sz w:val="20"/>
        </w:rPr>
        <w:t xml:space="preserve"> </w:t>
      </w:r>
      <w:r w:rsidR="00250D03">
        <w:rPr>
          <w:rFonts w:ascii="Arial" w:hAnsi="Arial" w:cs="Arial"/>
          <w:sz w:val="20"/>
        </w:rPr>
        <w:t xml:space="preserve">November </w:t>
      </w:r>
      <w:r w:rsidR="00CD7E54">
        <w:rPr>
          <w:rFonts w:ascii="Arial" w:hAnsi="Arial" w:cs="Arial"/>
          <w:sz w:val="20"/>
        </w:rPr>
        <w:t>2025</w:t>
      </w:r>
      <w:r w:rsidR="00C75C35">
        <w:rPr>
          <w:rFonts w:ascii="Arial" w:hAnsi="Arial" w:cs="Arial"/>
          <w:sz w:val="20"/>
        </w:rPr>
        <w:t xml:space="preserve"> weeks</w:t>
      </w:r>
      <w:r w:rsidR="00EB4470">
        <w:rPr>
          <w:rFonts w:ascii="Arial" w:hAnsi="Arial" w:cs="Arial"/>
          <w:sz w:val="20"/>
        </w:rPr>
        <w:t xml:space="preserve">. </w:t>
      </w:r>
      <w:r w:rsidR="00250D03">
        <w:rPr>
          <w:rFonts w:ascii="Arial" w:hAnsi="Arial" w:cs="Arial"/>
          <w:sz w:val="20"/>
        </w:rPr>
        <w:t>All species experienced increases, including the biggest seller, tuna</w:t>
      </w:r>
      <w:r w:rsidR="00150F85">
        <w:rPr>
          <w:rFonts w:ascii="Arial" w:hAnsi="Arial" w:cs="Arial"/>
          <w:sz w:val="20"/>
        </w:rPr>
        <w:t>.</w:t>
      </w:r>
      <w:r w:rsidR="00250D03">
        <w:rPr>
          <w:rFonts w:ascii="Arial" w:hAnsi="Arial" w:cs="Arial"/>
          <w:sz w:val="20"/>
        </w:rPr>
        <w:t xml:space="preserve"> Gains were highest for sardines, that have been trending all year. </w:t>
      </w:r>
      <w:r w:rsidR="00150F85">
        <w:rPr>
          <w:rFonts w:ascii="Arial" w:hAnsi="Arial" w:cs="Arial"/>
          <w:sz w:val="20"/>
        </w:rPr>
        <w:t xml:space="preserve"> </w:t>
      </w:r>
      <w:r w:rsidR="00E85751">
        <w:rPr>
          <w:rFonts w:ascii="Arial" w:hAnsi="Arial" w:cs="Arial"/>
          <w:sz w:val="20"/>
        </w:rPr>
        <w:t xml:space="preserve"> </w:t>
      </w:r>
    </w:p>
    <w:p w14:paraId="5CD2AC17" w14:textId="10E39EFB" w:rsidR="00A94364" w:rsidRPr="006F697A" w:rsidRDefault="00A94364" w:rsidP="00AD60E2">
      <w:pPr>
        <w:pStyle w:val="NoSpacing"/>
        <w:rPr>
          <w:rFonts w:ascii="Arial" w:hAnsi="Arial" w:cs="Arial"/>
          <w:sz w:val="8"/>
          <w:szCs w:val="10"/>
        </w:rPr>
      </w:pPr>
    </w:p>
    <w:tbl>
      <w:tblPr>
        <w:tblStyle w:val="ListTable6Colorful"/>
        <w:tblW w:w="10620" w:type="dxa"/>
        <w:tblBorders>
          <w:top w:val="none" w:sz="0" w:space="0" w:color="auto"/>
          <w:bottom w:val="none" w:sz="0" w:space="0" w:color="auto"/>
        </w:tblBorders>
        <w:tblLayout w:type="fixed"/>
        <w:tblLook w:val="04A0" w:firstRow="1" w:lastRow="0" w:firstColumn="1" w:lastColumn="0" w:noHBand="0" w:noVBand="1"/>
      </w:tblPr>
      <w:tblGrid>
        <w:gridCol w:w="1710"/>
        <w:gridCol w:w="1485"/>
        <w:gridCol w:w="1485"/>
        <w:gridCol w:w="1485"/>
        <w:gridCol w:w="45"/>
        <w:gridCol w:w="1440"/>
        <w:gridCol w:w="1485"/>
        <w:gridCol w:w="1485"/>
      </w:tblGrid>
      <w:tr w:rsidR="00C75C35" w:rsidRPr="00AD60E2" w14:paraId="33166523" w14:textId="77777777" w:rsidTr="00D0653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bottom w:val="none" w:sz="0" w:space="0" w:color="auto"/>
            </w:tcBorders>
            <w:shd w:val="clear" w:color="auto" w:fill="17365D" w:themeFill="text2" w:themeFillShade="BF"/>
          </w:tcPr>
          <w:p w14:paraId="58F7A391" w14:textId="77777777" w:rsidR="00C75C35" w:rsidRPr="00AD60E2" w:rsidRDefault="00C75C35" w:rsidP="00C75C35">
            <w:pPr>
              <w:pStyle w:val="NoSpacing"/>
              <w:rPr>
                <w:rFonts w:ascii="Arial" w:hAnsi="Arial" w:cs="Arial"/>
                <w:color w:val="FFFFFF" w:themeColor="background1"/>
                <w:sz w:val="18"/>
                <w:szCs w:val="18"/>
              </w:rPr>
            </w:pPr>
          </w:p>
        </w:tc>
        <w:tc>
          <w:tcPr>
            <w:tcW w:w="4500" w:type="dxa"/>
            <w:gridSpan w:val="4"/>
            <w:tcBorders>
              <w:bottom w:val="none" w:sz="0" w:space="0" w:color="auto"/>
            </w:tcBorders>
            <w:shd w:val="clear" w:color="auto" w:fill="17365D" w:themeFill="text2" w:themeFillShade="BF"/>
          </w:tcPr>
          <w:p w14:paraId="2F4AC4EC" w14:textId="40BB3D0C" w:rsidR="00C75C35" w:rsidRPr="00AD60E2" w:rsidRDefault="00F6094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November 2025</w:t>
            </w:r>
          </w:p>
        </w:tc>
        <w:tc>
          <w:tcPr>
            <w:tcW w:w="4410" w:type="dxa"/>
            <w:gridSpan w:val="3"/>
            <w:tcBorders>
              <w:bottom w:val="none" w:sz="0" w:space="0" w:color="auto"/>
            </w:tcBorders>
            <w:shd w:val="clear" w:color="auto" w:fill="17365D" w:themeFill="text2" w:themeFillShade="BF"/>
          </w:tcPr>
          <w:p w14:paraId="62716401" w14:textId="4D396A90" w:rsidR="00C75C35" w:rsidRPr="00AD60E2"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563FB" w:rsidRPr="00AD60E2" w14:paraId="429EBA58" w14:textId="77777777" w:rsidTr="00293CE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shd w:val="clear" w:color="auto" w:fill="17365D" w:themeFill="text2" w:themeFillShade="BF"/>
            <w:vAlign w:val="center"/>
          </w:tcPr>
          <w:p w14:paraId="7D32C355" w14:textId="76E7FF3C" w:rsidR="00F15260" w:rsidRPr="00AD60E2" w:rsidRDefault="00F15260" w:rsidP="00293CE8">
            <w:pPr>
              <w:pStyle w:val="NoSpacing"/>
              <w:rPr>
                <w:rFonts w:ascii="Arial" w:hAnsi="Arial" w:cs="Arial"/>
                <w:color w:val="FFFFFF" w:themeColor="background1"/>
                <w:sz w:val="18"/>
                <w:szCs w:val="18"/>
              </w:rPr>
            </w:pPr>
            <w:r w:rsidRPr="00AD60E2">
              <w:rPr>
                <w:rFonts w:ascii="Arial" w:hAnsi="Arial" w:cs="Arial"/>
                <w:color w:val="FFFFFF" w:themeColor="background1"/>
                <w:sz w:val="18"/>
                <w:szCs w:val="18"/>
              </w:rPr>
              <w:t>Type</w:t>
            </w:r>
          </w:p>
        </w:tc>
        <w:tc>
          <w:tcPr>
            <w:tcW w:w="1485" w:type="dxa"/>
            <w:shd w:val="clear" w:color="auto" w:fill="17365D" w:themeFill="text2" w:themeFillShade="BF"/>
            <w:vAlign w:val="center"/>
          </w:tcPr>
          <w:p w14:paraId="1F7C88FF" w14:textId="2399B1E2" w:rsidR="00F15260" w:rsidRPr="00AD60E2" w:rsidRDefault="00F15260" w:rsidP="00293CE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07A04E85" w14:textId="77777777" w:rsidR="00F15260" w:rsidRPr="00AD60E2" w:rsidRDefault="00F15260" w:rsidP="00293CE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BF0FA6B" w14:textId="388E9BD8" w:rsidR="00F15260" w:rsidRPr="00AD60E2" w:rsidRDefault="00AD60E2"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c>
          <w:tcPr>
            <w:tcW w:w="1485" w:type="dxa"/>
            <w:gridSpan w:val="2"/>
            <w:shd w:val="clear" w:color="auto" w:fill="17365D" w:themeFill="text2" w:themeFillShade="BF"/>
            <w:vAlign w:val="center"/>
          </w:tcPr>
          <w:p w14:paraId="56C393E4" w14:textId="77777777" w:rsidR="00F15260" w:rsidRPr="00AD60E2" w:rsidRDefault="00F15260"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280D746F" w14:textId="77777777" w:rsidR="00F15260" w:rsidRPr="00AD60E2" w:rsidRDefault="00F15260"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738A1AA" w14:textId="3DB41EC0" w:rsidR="00F15260" w:rsidRPr="00AD60E2" w:rsidRDefault="00DA6F73"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r>
      <w:tr w:rsidR="00250D03" w:rsidRPr="00AD60E2" w14:paraId="11367CFE" w14:textId="77777777" w:rsidTr="00250D03">
        <w:trPr>
          <w:trHeight w:val="303"/>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E5F95AA" w14:textId="46904EBD" w:rsidR="00250D03" w:rsidRPr="00250D03" w:rsidRDefault="00250D03" w:rsidP="00250D03">
            <w:pPr>
              <w:pStyle w:val="NoSpacing"/>
              <w:rPr>
                <w:rFonts w:ascii="Arial" w:hAnsi="Arial" w:cs="Arial"/>
                <w:bCs w:val="0"/>
                <w:sz w:val="18"/>
                <w:szCs w:val="18"/>
              </w:rPr>
            </w:pPr>
            <w:r w:rsidRPr="00250D03">
              <w:rPr>
                <w:rFonts w:ascii="Arial" w:eastAsia="Times New Roman" w:hAnsi="Arial" w:cs="Arial"/>
                <w:bCs w:val="0"/>
                <w:sz w:val="18"/>
                <w:szCs w:val="18"/>
              </w:rPr>
              <w:t>Ambient seafood</w:t>
            </w:r>
          </w:p>
        </w:tc>
        <w:tc>
          <w:tcPr>
            <w:tcW w:w="1485" w:type="dxa"/>
            <w:vAlign w:val="center"/>
          </w:tcPr>
          <w:p w14:paraId="13FD707B" w14:textId="53452D5A"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250D03">
              <w:rPr>
                <w:rFonts w:ascii="Arial" w:hAnsi="Arial" w:cs="Arial"/>
                <w:color w:val="000000"/>
                <w:sz w:val="18"/>
                <w:szCs w:val="18"/>
              </w:rPr>
              <w:t>$252</w:t>
            </w:r>
            <w:r>
              <w:rPr>
                <w:rFonts w:ascii="Arial" w:hAnsi="Arial" w:cs="Arial"/>
                <w:color w:val="000000"/>
                <w:sz w:val="18"/>
                <w:szCs w:val="18"/>
              </w:rPr>
              <w:t>.6M</w:t>
            </w:r>
          </w:p>
        </w:tc>
        <w:tc>
          <w:tcPr>
            <w:tcW w:w="1485" w:type="dxa"/>
            <w:vAlign w:val="center"/>
          </w:tcPr>
          <w:p w14:paraId="7CD0CA5D" w14:textId="6B2FA52B"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color w:val="000000"/>
                <w:sz w:val="18"/>
                <w:szCs w:val="18"/>
              </w:rPr>
              <w:t>+</w:t>
            </w:r>
            <w:r w:rsidRPr="00250D03">
              <w:rPr>
                <w:rFonts w:ascii="Arial" w:hAnsi="Arial" w:cs="Arial"/>
                <w:color w:val="000000"/>
                <w:sz w:val="18"/>
                <w:szCs w:val="18"/>
              </w:rPr>
              <w:t>10.1%</w:t>
            </w:r>
          </w:p>
        </w:tc>
        <w:tc>
          <w:tcPr>
            <w:tcW w:w="1485" w:type="dxa"/>
            <w:tcBorders>
              <w:right w:val="single" w:sz="4" w:space="0" w:color="31849B" w:themeColor="accent5" w:themeShade="BF"/>
            </w:tcBorders>
            <w:vAlign w:val="center"/>
          </w:tcPr>
          <w:p w14:paraId="70F04E03" w14:textId="5D058BB8"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color w:val="000000"/>
                <w:sz w:val="18"/>
                <w:szCs w:val="18"/>
              </w:rPr>
              <w:t>+</w:t>
            </w:r>
            <w:r w:rsidRPr="00250D03">
              <w:rPr>
                <w:rFonts w:ascii="Arial" w:hAnsi="Arial" w:cs="Arial"/>
                <w:color w:val="000000"/>
                <w:sz w:val="18"/>
                <w:szCs w:val="18"/>
              </w:rPr>
              <w:t>4.5%</w:t>
            </w:r>
          </w:p>
        </w:tc>
        <w:tc>
          <w:tcPr>
            <w:tcW w:w="1485" w:type="dxa"/>
            <w:gridSpan w:val="2"/>
            <w:tcBorders>
              <w:left w:val="single" w:sz="4" w:space="0" w:color="31849B" w:themeColor="accent5" w:themeShade="BF"/>
            </w:tcBorders>
            <w:vAlign w:val="center"/>
          </w:tcPr>
          <w:p w14:paraId="4DEDCF96" w14:textId="14413BD8"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250D03">
              <w:rPr>
                <w:rFonts w:ascii="Arial" w:hAnsi="Arial" w:cs="Arial"/>
                <w:color w:val="000000"/>
                <w:sz w:val="18"/>
                <w:szCs w:val="18"/>
              </w:rPr>
              <w:t>$3</w:t>
            </w:r>
            <w:r>
              <w:rPr>
                <w:rFonts w:ascii="Arial" w:hAnsi="Arial" w:cs="Arial"/>
                <w:color w:val="000000"/>
                <w:sz w:val="18"/>
                <w:szCs w:val="18"/>
              </w:rPr>
              <w:t>.4B</w:t>
            </w:r>
          </w:p>
        </w:tc>
        <w:tc>
          <w:tcPr>
            <w:tcW w:w="1485" w:type="dxa"/>
            <w:vAlign w:val="center"/>
          </w:tcPr>
          <w:p w14:paraId="37418921" w14:textId="03D59E5F"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color w:val="000000"/>
                <w:sz w:val="18"/>
                <w:szCs w:val="18"/>
              </w:rPr>
              <w:t>+</w:t>
            </w:r>
            <w:r w:rsidRPr="00250D03">
              <w:rPr>
                <w:rFonts w:ascii="Arial" w:hAnsi="Arial" w:cs="Arial"/>
                <w:color w:val="000000"/>
                <w:sz w:val="18"/>
                <w:szCs w:val="18"/>
              </w:rPr>
              <w:t>1.3%</w:t>
            </w:r>
          </w:p>
        </w:tc>
        <w:tc>
          <w:tcPr>
            <w:tcW w:w="1485" w:type="dxa"/>
            <w:vAlign w:val="center"/>
          </w:tcPr>
          <w:p w14:paraId="68369672" w14:textId="053AE2D6"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color w:val="000000"/>
                <w:sz w:val="18"/>
                <w:szCs w:val="18"/>
              </w:rPr>
              <w:t>+</w:t>
            </w:r>
            <w:r w:rsidRPr="00250D03">
              <w:rPr>
                <w:rFonts w:ascii="Arial" w:hAnsi="Arial" w:cs="Arial"/>
                <w:color w:val="000000"/>
                <w:sz w:val="18"/>
                <w:szCs w:val="18"/>
              </w:rPr>
              <w:t>0.7%</w:t>
            </w:r>
          </w:p>
        </w:tc>
      </w:tr>
      <w:tr w:rsidR="00250D03" w:rsidRPr="00AD60E2" w14:paraId="5340B729" w14:textId="77777777" w:rsidTr="00250D0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265CD20" w14:textId="77777777" w:rsidR="00250D03" w:rsidRPr="00250D03" w:rsidRDefault="00250D03" w:rsidP="00250D03">
            <w:pPr>
              <w:pStyle w:val="NoSpacing"/>
              <w:rPr>
                <w:rFonts w:ascii="Arial" w:hAnsi="Arial" w:cs="Arial"/>
                <w:b w:val="0"/>
                <w:bCs w:val="0"/>
                <w:sz w:val="18"/>
                <w:szCs w:val="18"/>
              </w:rPr>
            </w:pPr>
            <w:r w:rsidRPr="00250D03">
              <w:rPr>
                <w:rFonts w:ascii="Arial" w:eastAsia="Times New Roman" w:hAnsi="Arial" w:cs="Arial"/>
                <w:b w:val="0"/>
                <w:sz w:val="18"/>
                <w:szCs w:val="18"/>
              </w:rPr>
              <w:t>Ambient tuna</w:t>
            </w:r>
          </w:p>
        </w:tc>
        <w:tc>
          <w:tcPr>
            <w:tcW w:w="1485" w:type="dxa"/>
            <w:vAlign w:val="center"/>
          </w:tcPr>
          <w:p w14:paraId="467B2EF3" w14:textId="4B51DA55" w:rsidR="00250D03" w:rsidRPr="00250D03" w:rsidRDefault="00250D03" w:rsidP="00250D03">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250D03">
              <w:rPr>
                <w:rFonts w:ascii="Arial" w:hAnsi="Arial" w:cs="Arial"/>
                <w:color w:val="000000"/>
                <w:sz w:val="18"/>
                <w:szCs w:val="18"/>
              </w:rPr>
              <w:t>$168</w:t>
            </w:r>
            <w:r>
              <w:rPr>
                <w:rFonts w:ascii="Arial" w:hAnsi="Arial" w:cs="Arial"/>
                <w:color w:val="000000"/>
                <w:sz w:val="18"/>
                <w:szCs w:val="18"/>
              </w:rPr>
              <w:t>.6M</w:t>
            </w:r>
          </w:p>
        </w:tc>
        <w:tc>
          <w:tcPr>
            <w:tcW w:w="1485" w:type="dxa"/>
            <w:vAlign w:val="center"/>
          </w:tcPr>
          <w:p w14:paraId="7EC4F086" w14:textId="1DE05184" w:rsidR="00250D03" w:rsidRPr="00250D03" w:rsidRDefault="00250D03" w:rsidP="00250D03">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Pr="00250D03">
              <w:rPr>
                <w:rFonts w:ascii="Arial" w:hAnsi="Arial" w:cs="Arial"/>
                <w:color w:val="000000"/>
                <w:sz w:val="18"/>
                <w:szCs w:val="18"/>
              </w:rPr>
              <w:t>6.2%</w:t>
            </w:r>
          </w:p>
        </w:tc>
        <w:tc>
          <w:tcPr>
            <w:tcW w:w="1485" w:type="dxa"/>
            <w:tcBorders>
              <w:right w:val="single" w:sz="4" w:space="0" w:color="31849B" w:themeColor="accent5" w:themeShade="BF"/>
            </w:tcBorders>
            <w:vAlign w:val="center"/>
          </w:tcPr>
          <w:p w14:paraId="644C331F" w14:textId="38CE06F5" w:rsidR="00250D03" w:rsidRPr="00250D03" w:rsidRDefault="00250D03" w:rsidP="00250D03">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Pr="00250D03">
              <w:rPr>
                <w:rFonts w:ascii="Arial" w:hAnsi="Arial" w:cs="Arial"/>
                <w:color w:val="000000"/>
                <w:sz w:val="18"/>
                <w:szCs w:val="18"/>
              </w:rPr>
              <w:t>0.8%</w:t>
            </w:r>
          </w:p>
        </w:tc>
        <w:tc>
          <w:tcPr>
            <w:tcW w:w="1485" w:type="dxa"/>
            <w:gridSpan w:val="2"/>
            <w:tcBorders>
              <w:left w:val="single" w:sz="4" w:space="0" w:color="31849B" w:themeColor="accent5" w:themeShade="BF"/>
            </w:tcBorders>
            <w:vAlign w:val="center"/>
          </w:tcPr>
          <w:p w14:paraId="5A522292" w14:textId="5747A995" w:rsidR="00250D03" w:rsidRPr="00250D03" w:rsidRDefault="00250D03" w:rsidP="00250D0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D03">
              <w:rPr>
                <w:rFonts w:ascii="Arial" w:hAnsi="Arial" w:cs="Arial"/>
                <w:color w:val="000000"/>
                <w:sz w:val="18"/>
                <w:szCs w:val="18"/>
              </w:rPr>
              <w:t>$2</w:t>
            </w:r>
            <w:r>
              <w:rPr>
                <w:rFonts w:ascii="Arial" w:hAnsi="Arial" w:cs="Arial"/>
                <w:color w:val="000000"/>
                <w:sz w:val="18"/>
                <w:szCs w:val="18"/>
              </w:rPr>
              <w:t>.4B</w:t>
            </w:r>
          </w:p>
        </w:tc>
        <w:tc>
          <w:tcPr>
            <w:tcW w:w="1485" w:type="dxa"/>
            <w:vAlign w:val="center"/>
          </w:tcPr>
          <w:p w14:paraId="1C0533FA" w14:textId="1FB94E50" w:rsidR="00250D03" w:rsidRPr="00250D03" w:rsidRDefault="00250D03" w:rsidP="00250D0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D03">
              <w:rPr>
                <w:rFonts w:ascii="Arial" w:hAnsi="Arial" w:cs="Arial"/>
                <w:color w:val="000000"/>
                <w:sz w:val="18"/>
                <w:szCs w:val="18"/>
              </w:rPr>
              <w:t>-0.2%</w:t>
            </w:r>
          </w:p>
        </w:tc>
        <w:tc>
          <w:tcPr>
            <w:tcW w:w="1485" w:type="dxa"/>
            <w:vAlign w:val="center"/>
          </w:tcPr>
          <w:p w14:paraId="0EA7B7BE" w14:textId="3F1CCF1C" w:rsidR="00250D03" w:rsidRPr="00250D03" w:rsidRDefault="00250D03" w:rsidP="00250D0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Pr="00250D03">
              <w:rPr>
                <w:rFonts w:ascii="Arial" w:hAnsi="Arial" w:cs="Arial"/>
                <w:color w:val="000000"/>
                <w:sz w:val="18"/>
                <w:szCs w:val="18"/>
              </w:rPr>
              <w:t>0.0%</w:t>
            </w:r>
          </w:p>
        </w:tc>
      </w:tr>
      <w:tr w:rsidR="00250D03" w:rsidRPr="00AD60E2" w14:paraId="74D7EA47" w14:textId="77777777" w:rsidTr="00250D03">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444D7098" w14:textId="77777777" w:rsidR="00250D03" w:rsidRPr="00250D03" w:rsidRDefault="00250D03" w:rsidP="00250D03">
            <w:pPr>
              <w:pStyle w:val="NoSpacing"/>
              <w:rPr>
                <w:rFonts w:ascii="Arial" w:hAnsi="Arial" w:cs="Arial"/>
                <w:b w:val="0"/>
                <w:bCs w:val="0"/>
                <w:sz w:val="18"/>
                <w:szCs w:val="18"/>
              </w:rPr>
            </w:pPr>
            <w:r w:rsidRPr="00250D03">
              <w:rPr>
                <w:rFonts w:ascii="Arial" w:eastAsia="Times New Roman" w:hAnsi="Arial" w:cs="Arial"/>
                <w:b w:val="0"/>
                <w:sz w:val="18"/>
                <w:szCs w:val="18"/>
              </w:rPr>
              <w:t>Ambient sardines</w:t>
            </w:r>
          </w:p>
        </w:tc>
        <w:tc>
          <w:tcPr>
            <w:tcW w:w="1485" w:type="dxa"/>
            <w:vAlign w:val="center"/>
          </w:tcPr>
          <w:p w14:paraId="69E554BA" w14:textId="381E80A1"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250D03">
              <w:rPr>
                <w:rFonts w:ascii="Arial" w:hAnsi="Arial" w:cs="Arial"/>
                <w:color w:val="000000"/>
                <w:sz w:val="18"/>
                <w:szCs w:val="18"/>
              </w:rPr>
              <w:t>$27</w:t>
            </w:r>
            <w:r>
              <w:rPr>
                <w:rFonts w:ascii="Arial" w:hAnsi="Arial" w:cs="Arial"/>
                <w:color w:val="000000"/>
                <w:sz w:val="18"/>
                <w:szCs w:val="18"/>
              </w:rPr>
              <w:t>.6M</w:t>
            </w:r>
          </w:p>
        </w:tc>
        <w:tc>
          <w:tcPr>
            <w:tcW w:w="1485" w:type="dxa"/>
            <w:vAlign w:val="center"/>
          </w:tcPr>
          <w:p w14:paraId="1DF057C9" w14:textId="41A40833"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Pr="00250D03">
              <w:rPr>
                <w:rFonts w:ascii="Arial" w:hAnsi="Arial" w:cs="Arial"/>
                <w:color w:val="000000"/>
                <w:sz w:val="18"/>
                <w:szCs w:val="18"/>
              </w:rPr>
              <w:t>31.8%</w:t>
            </w:r>
          </w:p>
        </w:tc>
        <w:tc>
          <w:tcPr>
            <w:tcW w:w="1485" w:type="dxa"/>
            <w:tcBorders>
              <w:right w:val="single" w:sz="4" w:space="0" w:color="31849B" w:themeColor="accent5" w:themeShade="BF"/>
            </w:tcBorders>
            <w:vAlign w:val="center"/>
          </w:tcPr>
          <w:p w14:paraId="2864894C" w14:textId="52EDBB2C"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Pr="00250D03">
              <w:rPr>
                <w:rFonts w:ascii="Arial" w:hAnsi="Arial" w:cs="Arial"/>
                <w:color w:val="000000"/>
                <w:sz w:val="18"/>
                <w:szCs w:val="18"/>
              </w:rPr>
              <w:t>27.0%</w:t>
            </w:r>
          </w:p>
        </w:tc>
        <w:tc>
          <w:tcPr>
            <w:tcW w:w="1485" w:type="dxa"/>
            <w:gridSpan w:val="2"/>
            <w:tcBorders>
              <w:left w:val="single" w:sz="4" w:space="0" w:color="31849B" w:themeColor="accent5" w:themeShade="BF"/>
            </w:tcBorders>
            <w:vAlign w:val="center"/>
          </w:tcPr>
          <w:p w14:paraId="33F3E2D4" w14:textId="4CAA587B"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D03">
              <w:rPr>
                <w:rFonts w:ascii="Arial" w:hAnsi="Arial" w:cs="Arial"/>
                <w:color w:val="000000"/>
                <w:sz w:val="18"/>
                <w:szCs w:val="18"/>
              </w:rPr>
              <w:t>$343</w:t>
            </w:r>
            <w:r>
              <w:rPr>
                <w:rFonts w:ascii="Arial" w:hAnsi="Arial" w:cs="Arial"/>
                <w:color w:val="000000"/>
                <w:sz w:val="18"/>
                <w:szCs w:val="18"/>
              </w:rPr>
              <w:t>.3M</w:t>
            </w:r>
          </w:p>
        </w:tc>
        <w:tc>
          <w:tcPr>
            <w:tcW w:w="1485" w:type="dxa"/>
            <w:vAlign w:val="center"/>
          </w:tcPr>
          <w:p w14:paraId="2E51BE07" w14:textId="35295517"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Pr="00250D03">
              <w:rPr>
                <w:rFonts w:ascii="Arial" w:hAnsi="Arial" w:cs="Arial"/>
                <w:color w:val="000000"/>
                <w:sz w:val="18"/>
                <w:szCs w:val="18"/>
              </w:rPr>
              <w:t>15.5%</w:t>
            </w:r>
          </w:p>
        </w:tc>
        <w:tc>
          <w:tcPr>
            <w:tcW w:w="1485" w:type="dxa"/>
            <w:vAlign w:val="center"/>
          </w:tcPr>
          <w:p w14:paraId="10F3D24F" w14:textId="4F4234D2"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Pr="00250D03">
              <w:rPr>
                <w:rFonts w:ascii="Arial" w:hAnsi="Arial" w:cs="Arial"/>
                <w:color w:val="000000"/>
                <w:sz w:val="18"/>
                <w:szCs w:val="18"/>
              </w:rPr>
              <w:t>8.4%</w:t>
            </w:r>
          </w:p>
        </w:tc>
      </w:tr>
      <w:tr w:rsidR="00250D03" w:rsidRPr="00AD60E2" w14:paraId="0A870DB6" w14:textId="77777777" w:rsidTr="00250D0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1EDC834" w14:textId="7A198233" w:rsidR="00250D03" w:rsidRPr="00250D03" w:rsidRDefault="00250D03" w:rsidP="00250D03">
            <w:pPr>
              <w:pStyle w:val="NoSpacing"/>
              <w:rPr>
                <w:rFonts w:ascii="Arial" w:hAnsi="Arial" w:cs="Arial"/>
                <w:b w:val="0"/>
                <w:bCs w:val="0"/>
                <w:sz w:val="18"/>
                <w:szCs w:val="18"/>
              </w:rPr>
            </w:pPr>
            <w:r w:rsidRPr="00250D03">
              <w:rPr>
                <w:rFonts w:ascii="Arial" w:eastAsia="Times New Roman" w:hAnsi="Arial" w:cs="Arial"/>
                <w:b w:val="0"/>
                <w:sz w:val="18"/>
                <w:szCs w:val="18"/>
              </w:rPr>
              <w:t>Ambient salmon</w:t>
            </w:r>
          </w:p>
        </w:tc>
        <w:tc>
          <w:tcPr>
            <w:tcW w:w="1485" w:type="dxa"/>
            <w:vAlign w:val="center"/>
          </w:tcPr>
          <w:p w14:paraId="2A2643AA" w14:textId="54AA169D" w:rsidR="00250D03" w:rsidRPr="00250D03" w:rsidRDefault="00250D03" w:rsidP="00250D03">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250D03">
              <w:rPr>
                <w:rFonts w:ascii="Arial" w:hAnsi="Arial" w:cs="Arial"/>
                <w:color w:val="000000"/>
                <w:sz w:val="18"/>
                <w:szCs w:val="18"/>
              </w:rPr>
              <w:t>$26</w:t>
            </w:r>
            <w:r>
              <w:rPr>
                <w:rFonts w:ascii="Arial" w:hAnsi="Arial" w:cs="Arial"/>
                <w:color w:val="000000"/>
                <w:sz w:val="18"/>
                <w:szCs w:val="18"/>
              </w:rPr>
              <w:t>.9M</w:t>
            </w:r>
          </w:p>
        </w:tc>
        <w:tc>
          <w:tcPr>
            <w:tcW w:w="1485" w:type="dxa"/>
            <w:vAlign w:val="center"/>
          </w:tcPr>
          <w:p w14:paraId="18FEA342" w14:textId="4CDB5ECC" w:rsidR="00250D03" w:rsidRPr="00250D03" w:rsidRDefault="00250D03" w:rsidP="00250D03">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Pr="00250D03">
              <w:rPr>
                <w:rFonts w:ascii="Arial" w:hAnsi="Arial" w:cs="Arial"/>
                <w:color w:val="000000"/>
                <w:sz w:val="18"/>
                <w:szCs w:val="18"/>
              </w:rPr>
              <w:t>15.1%</w:t>
            </w:r>
          </w:p>
        </w:tc>
        <w:tc>
          <w:tcPr>
            <w:tcW w:w="1485" w:type="dxa"/>
            <w:tcBorders>
              <w:right w:val="single" w:sz="4" w:space="0" w:color="31849B" w:themeColor="accent5" w:themeShade="BF"/>
            </w:tcBorders>
            <w:vAlign w:val="center"/>
          </w:tcPr>
          <w:p w14:paraId="7BC9CDED" w14:textId="05325C7B" w:rsidR="00250D03" w:rsidRPr="00250D03" w:rsidRDefault="00250D03" w:rsidP="00250D03">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Pr="00250D03">
              <w:rPr>
                <w:rFonts w:ascii="Arial" w:hAnsi="Arial" w:cs="Arial"/>
                <w:color w:val="000000"/>
                <w:sz w:val="18"/>
                <w:szCs w:val="18"/>
              </w:rPr>
              <w:t>4.8%</w:t>
            </w:r>
          </w:p>
        </w:tc>
        <w:tc>
          <w:tcPr>
            <w:tcW w:w="1485" w:type="dxa"/>
            <w:gridSpan w:val="2"/>
            <w:tcBorders>
              <w:left w:val="single" w:sz="4" w:space="0" w:color="31849B" w:themeColor="accent5" w:themeShade="BF"/>
            </w:tcBorders>
            <w:vAlign w:val="center"/>
          </w:tcPr>
          <w:p w14:paraId="07EDEAB9" w14:textId="57FB0B1C" w:rsidR="00250D03" w:rsidRPr="00250D03" w:rsidRDefault="00250D03" w:rsidP="00250D0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D03">
              <w:rPr>
                <w:rFonts w:ascii="Arial" w:hAnsi="Arial" w:cs="Arial"/>
                <w:color w:val="000000"/>
                <w:sz w:val="18"/>
                <w:szCs w:val="18"/>
              </w:rPr>
              <w:t>$300</w:t>
            </w:r>
            <w:r>
              <w:rPr>
                <w:rFonts w:ascii="Arial" w:hAnsi="Arial" w:cs="Arial"/>
                <w:color w:val="000000"/>
                <w:sz w:val="18"/>
                <w:szCs w:val="18"/>
              </w:rPr>
              <w:t>.5M</w:t>
            </w:r>
          </w:p>
        </w:tc>
        <w:tc>
          <w:tcPr>
            <w:tcW w:w="1485" w:type="dxa"/>
            <w:vAlign w:val="center"/>
          </w:tcPr>
          <w:p w14:paraId="4D5264CB" w14:textId="0DB21E23" w:rsidR="00250D03" w:rsidRPr="00250D03" w:rsidRDefault="00250D03" w:rsidP="00250D0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Pr="00250D03">
              <w:rPr>
                <w:rFonts w:ascii="Arial" w:hAnsi="Arial" w:cs="Arial"/>
                <w:color w:val="000000"/>
                <w:sz w:val="18"/>
                <w:szCs w:val="18"/>
              </w:rPr>
              <w:t>4.9%</w:t>
            </w:r>
          </w:p>
        </w:tc>
        <w:tc>
          <w:tcPr>
            <w:tcW w:w="1485" w:type="dxa"/>
            <w:vAlign w:val="center"/>
          </w:tcPr>
          <w:p w14:paraId="6CF19251" w14:textId="39F1395A" w:rsidR="00250D03" w:rsidRPr="00250D03" w:rsidRDefault="00250D03" w:rsidP="00250D0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Pr="00250D03">
              <w:rPr>
                <w:rFonts w:ascii="Arial" w:hAnsi="Arial" w:cs="Arial"/>
                <w:color w:val="000000"/>
                <w:sz w:val="18"/>
                <w:szCs w:val="18"/>
              </w:rPr>
              <w:t>0.1%</w:t>
            </w:r>
          </w:p>
        </w:tc>
      </w:tr>
      <w:tr w:rsidR="00250D03" w:rsidRPr="00AD60E2" w14:paraId="0DCD14DB" w14:textId="77777777" w:rsidTr="00250D03">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4BF7024" w14:textId="1AED4659" w:rsidR="00250D03" w:rsidRPr="00250D03" w:rsidRDefault="00250D03" w:rsidP="00250D03">
            <w:pPr>
              <w:pStyle w:val="NoSpacing"/>
              <w:rPr>
                <w:rFonts w:ascii="Arial" w:hAnsi="Arial" w:cs="Arial"/>
                <w:b w:val="0"/>
                <w:bCs w:val="0"/>
                <w:sz w:val="18"/>
                <w:szCs w:val="18"/>
              </w:rPr>
            </w:pPr>
            <w:r w:rsidRPr="00250D03">
              <w:rPr>
                <w:rFonts w:ascii="Arial" w:eastAsia="Times New Roman" w:hAnsi="Arial" w:cs="Arial"/>
                <w:b w:val="0"/>
                <w:bCs w:val="0"/>
                <w:sz w:val="18"/>
                <w:szCs w:val="18"/>
              </w:rPr>
              <w:t>Ambient all other</w:t>
            </w:r>
          </w:p>
        </w:tc>
        <w:tc>
          <w:tcPr>
            <w:tcW w:w="1485" w:type="dxa"/>
            <w:vAlign w:val="center"/>
          </w:tcPr>
          <w:p w14:paraId="6F3E0385" w14:textId="3D8D2776"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250D03">
              <w:rPr>
                <w:rFonts w:ascii="Arial" w:hAnsi="Arial" w:cs="Arial"/>
                <w:color w:val="000000"/>
                <w:sz w:val="18"/>
                <w:szCs w:val="18"/>
              </w:rPr>
              <w:t>$22</w:t>
            </w:r>
            <w:r>
              <w:rPr>
                <w:rFonts w:ascii="Arial" w:hAnsi="Arial" w:cs="Arial"/>
                <w:color w:val="000000"/>
                <w:sz w:val="18"/>
                <w:szCs w:val="18"/>
              </w:rPr>
              <w:t>.6M</w:t>
            </w:r>
          </w:p>
        </w:tc>
        <w:tc>
          <w:tcPr>
            <w:tcW w:w="1485" w:type="dxa"/>
            <w:vAlign w:val="center"/>
          </w:tcPr>
          <w:p w14:paraId="3919FBA1" w14:textId="16D0A2E3"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Pr="00250D03">
              <w:rPr>
                <w:rFonts w:ascii="Arial" w:hAnsi="Arial" w:cs="Arial"/>
                <w:color w:val="000000"/>
                <w:sz w:val="18"/>
                <w:szCs w:val="18"/>
              </w:rPr>
              <w:t>13.9%</w:t>
            </w:r>
          </w:p>
        </w:tc>
        <w:tc>
          <w:tcPr>
            <w:tcW w:w="1485" w:type="dxa"/>
            <w:tcBorders>
              <w:right w:val="single" w:sz="4" w:space="0" w:color="31849B" w:themeColor="accent5" w:themeShade="BF"/>
            </w:tcBorders>
            <w:vAlign w:val="center"/>
          </w:tcPr>
          <w:p w14:paraId="34D72223" w14:textId="781297D2"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Pr="00250D03">
              <w:rPr>
                <w:rFonts w:ascii="Arial" w:hAnsi="Arial" w:cs="Arial"/>
                <w:color w:val="000000"/>
                <w:sz w:val="18"/>
                <w:szCs w:val="18"/>
              </w:rPr>
              <w:t>8.2%</w:t>
            </w:r>
          </w:p>
        </w:tc>
        <w:tc>
          <w:tcPr>
            <w:tcW w:w="1485" w:type="dxa"/>
            <w:gridSpan w:val="2"/>
            <w:tcBorders>
              <w:left w:val="single" w:sz="4" w:space="0" w:color="31849B" w:themeColor="accent5" w:themeShade="BF"/>
            </w:tcBorders>
            <w:vAlign w:val="center"/>
          </w:tcPr>
          <w:p w14:paraId="3C45599A" w14:textId="6C57EABF"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D03">
              <w:rPr>
                <w:rFonts w:ascii="Arial" w:hAnsi="Arial" w:cs="Arial"/>
                <w:color w:val="000000"/>
                <w:sz w:val="18"/>
                <w:szCs w:val="18"/>
              </w:rPr>
              <w:t>$278</w:t>
            </w:r>
            <w:r>
              <w:rPr>
                <w:rFonts w:ascii="Arial" w:hAnsi="Arial" w:cs="Arial"/>
                <w:color w:val="000000"/>
                <w:sz w:val="18"/>
                <w:szCs w:val="18"/>
              </w:rPr>
              <w:t>.5M</w:t>
            </w:r>
          </w:p>
        </w:tc>
        <w:tc>
          <w:tcPr>
            <w:tcW w:w="1485" w:type="dxa"/>
            <w:vAlign w:val="center"/>
          </w:tcPr>
          <w:p w14:paraId="4B8B4E53" w14:textId="6EEE0E25"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D03">
              <w:rPr>
                <w:rFonts w:ascii="Arial" w:hAnsi="Arial" w:cs="Arial"/>
                <w:color w:val="000000"/>
                <w:sz w:val="18"/>
                <w:szCs w:val="18"/>
              </w:rPr>
              <w:t>-3.4%</w:t>
            </w:r>
          </w:p>
        </w:tc>
        <w:tc>
          <w:tcPr>
            <w:tcW w:w="1485" w:type="dxa"/>
            <w:vAlign w:val="center"/>
          </w:tcPr>
          <w:p w14:paraId="3A4896C7" w14:textId="54263DDE"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D03">
              <w:rPr>
                <w:rFonts w:ascii="Arial" w:hAnsi="Arial" w:cs="Arial"/>
                <w:color w:val="000000"/>
                <w:sz w:val="18"/>
                <w:szCs w:val="18"/>
              </w:rPr>
              <w:t>-2.2%</w:t>
            </w:r>
          </w:p>
        </w:tc>
      </w:tr>
    </w:tbl>
    <w:p w14:paraId="45F75BE3" w14:textId="3E5DEC79" w:rsidR="00F15260" w:rsidRDefault="00F07831" w:rsidP="00AD60E2">
      <w:pPr>
        <w:pStyle w:val="NoSpacing"/>
        <w:rPr>
          <w:rFonts w:ascii="Arial" w:hAnsi="Arial" w:cs="Arial"/>
          <w:color w:val="7F7F7F" w:themeColor="text1" w:themeTint="80"/>
          <w:sz w:val="16"/>
          <w:szCs w:val="16"/>
        </w:rPr>
      </w:pPr>
      <w:r>
        <w:rPr>
          <w:rFonts w:ascii="Arial" w:hAnsi="Arial" w:cs="Arial"/>
          <w:color w:val="7F7F7F" w:themeColor="text1" w:themeTint="80"/>
          <w:sz w:val="16"/>
          <w:szCs w:val="16"/>
        </w:rPr>
        <w:t>S</w:t>
      </w:r>
      <w:r w:rsidR="006F697A">
        <w:rPr>
          <w:rFonts w:ascii="Arial" w:hAnsi="Arial" w:cs="Arial"/>
          <w:color w:val="7F7F7F" w:themeColor="text1" w:themeTint="80"/>
          <w:sz w:val="16"/>
          <w:szCs w:val="16"/>
        </w:rPr>
        <w:t>o</w:t>
      </w:r>
      <w:r w:rsidR="00F15260" w:rsidRPr="00AD60E2">
        <w:rPr>
          <w:rFonts w:ascii="Arial" w:hAnsi="Arial" w:cs="Arial"/>
          <w:color w:val="7F7F7F" w:themeColor="text1" w:themeTint="80"/>
          <w:sz w:val="16"/>
          <w:szCs w:val="16"/>
        </w:rPr>
        <w:t xml:space="preserve">urce: </w:t>
      </w:r>
      <w:proofErr w:type="spellStart"/>
      <w:r w:rsidR="00F15260" w:rsidRPr="00AD60E2">
        <w:rPr>
          <w:rFonts w:ascii="Arial" w:hAnsi="Arial" w:cs="Arial"/>
          <w:color w:val="7F7F7F" w:themeColor="text1" w:themeTint="80"/>
          <w:sz w:val="16"/>
          <w:szCs w:val="16"/>
        </w:rPr>
        <w:t>Circana</w:t>
      </w:r>
      <w:proofErr w:type="spellEnd"/>
      <w:r w:rsidR="00F15260" w:rsidRPr="00AD60E2">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p w14:paraId="1CA16E77" w14:textId="77777777" w:rsidR="00C75C35" w:rsidRDefault="00C75C35" w:rsidP="00CD6192">
      <w:pPr>
        <w:spacing w:after="0"/>
        <w:rPr>
          <w:rFonts w:ascii="Arial" w:hAnsi="Arial" w:cs="Arial"/>
          <w:b/>
          <w:color w:val="00857C"/>
          <w:sz w:val="24"/>
          <w:szCs w:val="20"/>
        </w:rPr>
      </w:pPr>
    </w:p>
    <w:p w14:paraId="78020F43" w14:textId="591F30D6" w:rsidR="00CD6192" w:rsidRPr="00C24355" w:rsidRDefault="00293CE8" w:rsidP="00CD6192">
      <w:pPr>
        <w:spacing w:after="0"/>
        <w:rPr>
          <w:rFonts w:ascii="Arial" w:hAnsi="Arial" w:cs="Arial"/>
          <w:b/>
          <w:color w:val="00857C"/>
          <w:sz w:val="24"/>
          <w:szCs w:val="20"/>
        </w:rPr>
      </w:pPr>
      <w:r>
        <w:rPr>
          <w:rFonts w:ascii="Arial" w:hAnsi="Arial" w:cs="Arial"/>
          <w:b/>
          <w:noProof/>
          <w:color w:val="595959" w:themeColor="text1" w:themeTint="A6"/>
          <w:sz w:val="24"/>
          <w:szCs w:val="20"/>
          <w:lang w:val="nl-NL" w:eastAsia="nl-NL"/>
        </w:rPr>
        <mc:AlternateContent>
          <mc:Choice Requires="wps">
            <w:drawing>
              <wp:anchor distT="0" distB="0" distL="114300" distR="114300" simplePos="0" relativeHeight="251675648" behindDoc="0" locked="0" layoutInCell="1" allowOverlap="1" wp14:anchorId="52760C6E" wp14:editId="73E85220">
                <wp:simplePos x="0" y="0"/>
                <wp:positionH relativeFrom="page">
                  <wp:posOffset>-812165</wp:posOffset>
                </wp:positionH>
                <wp:positionV relativeFrom="page">
                  <wp:posOffset>-3366135</wp:posOffset>
                </wp:positionV>
                <wp:extent cx="6048375" cy="657225"/>
                <wp:effectExtent l="0" t="0" r="0" b="0"/>
                <wp:wrapNone/>
                <wp:docPr id="1767181004" name="Text Box 9"/>
                <wp:cNvGraphicFramePr/>
                <a:graphic xmlns:a="http://schemas.openxmlformats.org/drawingml/2006/main">
                  <a:graphicData uri="http://schemas.microsoft.com/office/word/2010/wordprocessingShape">
                    <wps:wsp>
                      <wps:cNvSpPr txBox="1"/>
                      <wps:spPr>
                        <a:xfrm>
                          <a:off x="0" y="0"/>
                          <a:ext cx="6048375" cy="657225"/>
                        </a:xfrm>
                        <a:prstGeom prst="rect">
                          <a:avLst/>
                        </a:prstGeom>
                        <a:noFill/>
                        <a:ln w="6350">
                          <a:noFill/>
                        </a:ln>
                      </wps:spPr>
                      <wps:txb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052FAF"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052FAF"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052FAF" w:rsidRPr="00A94364" w:rsidRDefault="00052FAF" w:rsidP="00293CE8">
                            <w:pPr>
                              <w:rPr>
                                <w:rFonts w:ascii="Arial" w:hAnsi="Arial" w:cs="Arial"/>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60C6E" id="_x0000_t202" coordsize="21600,21600" o:spt="202" path="m,l,21600r21600,l21600,xe">
                <v:stroke joinstyle="miter"/>
                <v:path gradientshapeok="t" o:connecttype="rect"/>
              </v:shapetype>
              <v:shape id="Text Box 9" o:spid="_x0000_s1026" type="#_x0000_t202" style="position:absolute;margin-left:-63.95pt;margin-top:-265.05pt;width:476.25pt;height:51.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" filled="f" stroked="f" strokeweight=".5pt">
                <v:textbo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052FAF"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052FAF"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052FAF" w:rsidRPr="00A94364" w:rsidRDefault="00052FAF" w:rsidP="00293CE8">
                      <w:pPr>
                        <w:rPr>
                          <w:rFonts w:ascii="Arial" w:hAnsi="Arial" w:cs="Arial"/>
                          <w:b/>
                          <w:bCs/>
                          <w:color w:val="FFFFFF" w:themeColor="background1"/>
                        </w:rPr>
                      </w:pPr>
                    </w:p>
                  </w:txbxContent>
                </v:textbox>
                <w10:wrap anchorx="page" anchory="page"/>
              </v:shape>
            </w:pict>
          </mc:Fallback>
        </mc:AlternateContent>
      </w:r>
      <w:r w:rsidR="00CD6192" w:rsidRPr="00C24355">
        <w:rPr>
          <w:rFonts w:ascii="Arial" w:hAnsi="Arial" w:cs="Arial"/>
          <w:b/>
          <w:color w:val="00857C"/>
          <w:sz w:val="24"/>
          <w:szCs w:val="20"/>
        </w:rPr>
        <w:t>Fresh</w:t>
      </w:r>
      <w:r w:rsidR="00931C77">
        <w:rPr>
          <w:rFonts w:ascii="Arial" w:hAnsi="Arial" w:cs="Arial"/>
          <w:b/>
          <w:color w:val="00857C"/>
          <w:sz w:val="24"/>
          <w:szCs w:val="20"/>
        </w:rPr>
        <w:t>/refrigerated</w:t>
      </w:r>
      <w:r w:rsidR="00CD6192" w:rsidRPr="00C24355">
        <w:rPr>
          <w:rFonts w:ascii="Arial" w:hAnsi="Arial" w:cs="Arial"/>
          <w:b/>
          <w:color w:val="00857C"/>
          <w:sz w:val="24"/>
          <w:szCs w:val="20"/>
        </w:rPr>
        <w:t xml:space="preserve"> seafood </w:t>
      </w:r>
    </w:p>
    <w:p w14:paraId="49491ACE" w14:textId="748FD212" w:rsidR="001445C0" w:rsidRDefault="00C75C35" w:rsidP="00F81649">
      <w:pPr>
        <w:pStyle w:val="NoSpacing"/>
        <w:ind w:right="11"/>
        <w:rPr>
          <w:rFonts w:ascii="Arial" w:hAnsi="Arial" w:cs="Arial"/>
          <w:bCs/>
          <w:color w:val="000000" w:themeColor="text1"/>
          <w:sz w:val="20"/>
          <w:szCs w:val="16"/>
        </w:rPr>
      </w:pPr>
      <w:r>
        <w:rPr>
          <w:rFonts w:ascii="Arial" w:hAnsi="Arial" w:cs="Arial"/>
          <w:bCs/>
          <w:color w:val="000000" w:themeColor="text1"/>
          <w:sz w:val="20"/>
          <w:szCs w:val="16"/>
        </w:rPr>
        <w:t>When splitting the seafood department into finfish and shellfish, two different patterns emerge</w:t>
      </w:r>
      <w:r w:rsidR="00150F85">
        <w:rPr>
          <w:rFonts w:ascii="Arial" w:hAnsi="Arial" w:cs="Arial"/>
          <w:bCs/>
          <w:color w:val="000000" w:themeColor="text1"/>
          <w:sz w:val="20"/>
          <w:szCs w:val="16"/>
        </w:rPr>
        <w:t>.</w:t>
      </w:r>
      <w:r>
        <w:rPr>
          <w:rFonts w:ascii="Arial" w:hAnsi="Arial" w:cs="Arial"/>
          <w:bCs/>
          <w:color w:val="000000" w:themeColor="text1"/>
          <w:sz w:val="20"/>
          <w:szCs w:val="16"/>
        </w:rPr>
        <w:t xml:space="preserve"> Finfish grew in dollars and pounds and has all year. Shellfish declined year-over-year in dollars and pounds and </w:t>
      </w:r>
      <w:r w:rsidR="00CB5D1F">
        <w:rPr>
          <w:rFonts w:ascii="Arial" w:hAnsi="Arial" w:cs="Arial"/>
          <w:bCs/>
          <w:color w:val="000000" w:themeColor="text1"/>
          <w:sz w:val="20"/>
          <w:szCs w:val="16"/>
        </w:rPr>
        <w:t xml:space="preserve">volume sales are now more than 10% below year-ago levels. </w:t>
      </w:r>
      <w:r w:rsidR="00150F85">
        <w:rPr>
          <w:rFonts w:ascii="Arial" w:hAnsi="Arial" w:cs="Arial"/>
          <w:bCs/>
          <w:color w:val="000000" w:themeColor="text1"/>
          <w:sz w:val="20"/>
          <w:szCs w:val="16"/>
        </w:rPr>
        <w:t xml:space="preserve"> </w:t>
      </w:r>
      <w:r w:rsidR="00E85751">
        <w:rPr>
          <w:rFonts w:ascii="Arial" w:hAnsi="Arial" w:cs="Arial"/>
          <w:bCs/>
          <w:color w:val="000000" w:themeColor="text1"/>
          <w:sz w:val="20"/>
          <w:szCs w:val="16"/>
        </w:rPr>
        <w:t xml:space="preserve"> </w:t>
      </w:r>
    </w:p>
    <w:p w14:paraId="2DF8F7EE" w14:textId="1848D903" w:rsidR="00507B1A" w:rsidRPr="000B0F9C" w:rsidRDefault="00507B1A" w:rsidP="001445C0">
      <w:pPr>
        <w:pStyle w:val="NoSpacing"/>
        <w:rPr>
          <w:rFonts w:ascii="Arial" w:hAnsi="Arial" w:cs="Arial"/>
          <w:bCs/>
          <w:color w:val="000000" w:themeColor="text1"/>
          <w:sz w:val="14"/>
          <w:szCs w:val="10"/>
        </w:rPr>
      </w:pPr>
    </w:p>
    <w:tbl>
      <w:tblPr>
        <w:tblStyle w:val="LightShading-Accent5"/>
        <w:tblW w:w="10620" w:type="dxa"/>
        <w:tblBorders>
          <w:top w:val="none" w:sz="0" w:space="0" w:color="auto"/>
          <w:bottom w:val="none" w:sz="0" w:space="0" w:color="auto"/>
        </w:tblBorders>
        <w:tblLayout w:type="fixed"/>
        <w:tblLook w:val="04A0" w:firstRow="1" w:lastRow="0" w:firstColumn="1" w:lastColumn="0" w:noHBand="0" w:noVBand="1"/>
      </w:tblPr>
      <w:tblGrid>
        <w:gridCol w:w="1889"/>
        <w:gridCol w:w="1305"/>
        <w:gridCol w:w="1485"/>
        <w:gridCol w:w="1441"/>
        <w:gridCol w:w="44"/>
        <w:gridCol w:w="1305"/>
        <w:gridCol w:w="1665"/>
        <w:gridCol w:w="1486"/>
      </w:tblGrid>
      <w:tr w:rsidR="00C75C35" w:rsidRPr="00A80540" w14:paraId="2D673150" w14:textId="77777777" w:rsidTr="00D0653E">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89"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3EB381FB" w14:textId="77777777" w:rsidR="00C75C35" w:rsidRPr="00A80540" w:rsidRDefault="00C75C35" w:rsidP="00C75C35">
            <w:pPr>
              <w:pStyle w:val="NoSpacing"/>
              <w:rPr>
                <w:rFonts w:ascii="Arial" w:hAnsi="Arial" w:cs="Arial"/>
                <w:color w:val="FFFFFF" w:themeColor="background1"/>
                <w:sz w:val="18"/>
                <w:szCs w:val="18"/>
              </w:rPr>
            </w:pPr>
          </w:p>
        </w:tc>
        <w:tc>
          <w:tcPr>
            <w:tcW w:w="4231" w:type="dxa"/>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078E43C4" w14:textId="2F361C45" w:rsidR="00C75C35" w:rsidRPr="00A80540" w:rsidRDefault="00F6094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November 2025</w:t>
            </w:r>
          </w:p>
        </w:tc>
        <w:tc>
          <w:tcPr>
            <w:tcW w:w="4500" w:type="dxa"/>
            <w:gridSpan w:val="4"/>
            <w:tcBorders>
              <w:top w:val="none" w:sz="0" w:space="0" w:color="auto"/>
              <w:left w:val="none" w:sz="0" w:space="0" w:color="auto"/>
              <w:bottom w:val="none" w:sz="0" w:space="0" w:color="auto"/>
              <w:right w:val="none" w:sz="0" w:space="0" w:color="auto"/>
            </w:tcBorders>
            <w:shd w:val="clear" w:color="auto" w:fill="17365D" w:themeFill="text2" w:themeFillShade="BF"/>
          </w:tcPr>
          <w:p w14:paraId="77CA77EA" w14:textId="72DD2471"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07B1A" w:rsidRPr="00A80540" w14:paraId="139B86C8" w14:textId="77777777" w:rsidTr="00C853F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89" w:type="dxa"/>
            <w:tcBorders>
              <w:left w:val="none" w:sz="0" w:space="0" w:color="auto"/>
              <w:right w:val="none" w:sz="0" w:space="0" w:color="auto"/>
            </w:tcBorders>
            <w:shd w:val="clear" w:color="auto" w:fill="17365D" w:themeFill="text2" w:themeFillShade="BF"/>
          </w:tcPr>
          <w:p w14:paraId="6ADB93B7" w14:textId="77777777" w:rsidR="00507B1A" w:rsidRPr="00DD1221" w:rsidRDefault="00507B1A" w:rsidP="0068426D">
            <w:pPr>
              <w:pStyle w:val="NoSpacing"/>
              <w:rPr>
                <w:rFonts w:ascii="Arial" w:hAnsi="Arial" w:cs="Arial"/>
                <w:color w:val="FFFFFF" w:themeColor="background1"/>
                <w:sz w:val="18"/>
                <w:szCs w:val="18"/>
              </w:rPr>
            </w:pPr>
            <w:r w:rsidRPr="00DD1221">
              <w:rPr>
                <w:rFonts w:ascii="Arial" w:hAnsi="Arial" w:cs="Arial"/>
                <w:color w:val="FFFFFF" w:themeColor="background1"/>
                <w:sz w:val="18"/>
                <w:szCs w:val="18"/>
              </w:rPr>
              <w:t>Type</w:t>
            </w:r>
          </w:p>
        </w:tc>
        <w:tc>
          <w:tcPr>
            <w:tcW w:w="1305" w:type="dxa"/>
            <w:tcBorders>
              <w:left w:val="none" w:sz="0" w:space="0" w:color="auto"/>
              <w:right w:val="none" w:sz="0" w:space="0" w:color="auto"/>
            </w:tcBorders>
            <w:shd w:val="clear" w:color="auto" w:fill="17365D" w:themeFill="text2" w:themeFillShade="BF"/>
          </w:tcPr>
          <w:p w14:paraId="04BEC287" w14:textId="77777777" w:rsidR="00507B1A" w:rsidRPr="00DD1221"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485" w:type="dxa"/>
            <w:tcBorders>
              <w:left w:val="none" w:sz="0" w:space="0" w:color="auto"/>
              <w:right w:val="none" w:sz="0" w:space="0" w:color="auto"/>
            </w:tcBorders>
            <w:shd w:val="clear" w:color="auto" w:fill="17365D" w:themeFill="text2" w:themeFillShade="BF"/>
          </w:tcPr>
          <w:p w14:paraId="25397003" w14:textId="77777777" w:rsidR="00507B1A" w:rsidRPr="00DD1221"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5" w:type="dxa"/>
            <w:gridSpan w:val="2"/>
            <w:tcBorders>
              <w:left w:val="none" w:sz="0" w:space="0" w:color="auto"/>
              <w:right w:val="single" w:sz="4" w:space="0" w:color="17365D" w:themeColor="text2" w:themeShade="BF"/>
            </w:tcBorders>
            <w:shd w:val="clear" w:color="auto" w:fill="17365D" w:themeFill="text2" w:themeFillShade="BF"/>
          </w:tcPr>
          <w:p w14:paraId="278AFB0F"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DD1221">
              <w:rPr>
                <w:rFonts w:ascii="Arial" w:hAnsi="Arial" w:cs="Arial"/>
                <w:b/>
                <w:bCs/>
                <w:color w:val="FFFFFF" w:themeColor="background1"/>
                <w:sz w:val="18"/>
                <w:szCs w:val="18"/>
              </w:rPr>
              <w:t>Lbs</w:t>
            </w:r>
            <w:proofErr w:type="spellEnd"/>
            <w:r w:rsidRPr="00DD1221">
              <w:rPr>
                <w:rFonts w:ascii="Arial" w:hAnsi="Arial" w:cs="Arial"/>
                <w:b/>
                <w:bCs/>
                <w:color w:val="FFFFFF" w:themeColor="background1"/>
                <w:sz w:val="18"/>
                <w:szCs w:val="18"/>
              </w:rPr>
              <w:t xml:space="preserve"> vs. YA</w:t>
            </w:r>
          </w:p>
        </w:tc>
        <w:tc>
          <w:tcPr>
            <w:tcW w:w="1305" w:type="dxa"/>
            <w:tcBorders>
              <w:left w:val="single" w:sz="4" w:space="0" w:color="17365D" w:themeColor="text2" w:themeShade="BF"/>
              <w:right w:val="none" w:sz="0" w:space="0" w:color="auto"/>
            </w:tcBorders>
            <w:shd w:val="clear" w:color="auto" w:fill="17365D" w:themeFill="text2" w:themeFillShade="BF"/>
          </w:tcPr>
          <w:p w14:paraId="19CE2B5E"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665" w:type="dxa"/>
            <w:tcBorders>
              <w:left w:val="none" w:sz="0" w:space="0" w:color="auto"/>
              <w:right w:val="none" w:sz="0" w:space="0" w:color="auto"/>
            </w:tcBorders>
            <w:shd w:val="clear" w:color="auto" w:fill="17365D" w:themeFill="text2" w:themeFillShade="BF"/>
          </w:tcPr>
          <w:p w14:paraId="1562827A"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6" w:type="dxa"/>
            <w:tcBorders>
              <w:left w:val="none" w:sz="0" w:space="0" w:color="auto"/>
              <w:right w:val="none" w:sz="0" w:space="0" w:color="auto"/>
            </w:tcBorders>
            <w:shd w:val="clear" w:color="auto" w:fill="17365D" w:themeFill="text2" w:themeFillShade="BF"/>
          </w:tcPr>
          <w:p w14:paraId="7F34472D"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DD1221">
              <w:rPr>
                <w:rFonts w:ascii="Arial" w:hAnsi="Arial" w:cs="Arial"/>
                <w:b/>
                <w:bCs/>
                <w:color w:val="FFFFFF" w:themeColor="background1"/>
                <w:sz w:val="18"/>
                <w:szCs w:val="18"/>
              </w:rPr>
              <w:t>Lbs</w:t>
            </w:r>
            <w:proofErr w:type="spellEnd"/>
            <w:r w:rsidRPr="00DD1221">
              <w:rPr>
                <w:rFonts w:ascii="Arial" w:hAnsi="Arial" w:cs="Arial"/>
                <w:b/>
                <w:bCs/>
                <w:color w:val="FFFFFF" w:themeColor="background1"/>
                <w:sz w:val="18"/>
                <w:szCs w:val="18"/>
              </w:rPr>
              <w:t xml:space="preserve"> vs. YA</w:t>
            </w:r>
          </w:p>
        </w:tc>
      </w:tr>
      <w:tr w:rsidR="00250D03" w:rsidRPr="00F15260" w14:paraId="544E1763" w14:textId="77777777" w:rsidTr="002526B3">
        <w:trPr>
          <w:trHeight w:val="188"/>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508E5CD4" w14:textId="61D20A0D" w:rsidR="00250D03" w:rsidRPr="00250D03" w:rsidRDefault="00250D03" w:rsidP="00250D03">
            <w:pPr>
              <w:pStyle w:val="NoSpacing"/>
              <w:rPr>
                <w:rFonts w:ascii="Arial" w:hAnsi="Arial" w:cs="Arial"/>
                <w:color w:val="000000" w:themeColor="text1"/>
                <w:sz w:val="18"/>
                <w:szCs w:val="18"/>
              </w:rPr>
            </w:pPr>
            <w:r w:rsidRPr="00250D03">
              <w:rPr>
                <w:rFonts w:ascii="Arial" w:eastAsia="Times New Roman" w:hAnsi="Arial" w:cs="Arial"/>
                <w:color w:val="000000" w:themeColor="text1"/>
                <w:sz w:val="18"/>
                <w:szCs w:val="18"/>
              </w:rPr>
              <w:t>Total fresh seafood</w:t>
            </w:r>
          </w:p>
        </w:tc>
        <w:tc>
          <w:tcPr>
            <w:tcW w:w="1305" w:type="dxa"/>
            <w:vAlign w:val="bottom"/>
          </w:tcPr>
          <w:p w14:paraId="008C175F" w14:textId="5A97E2E1"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50D03">
              <w:rPr>
                <w:rFonts w:ascii="Arial" w:hAnsi="Arial" w:cs="Arial"/>
                <w:color w:val="000000"/>
                <w:sz w:val="18"/>
                <w:szCs w:val="18"/>
              </w:rPr>
              <w:t>$606</w:t>
            </w:r>
            <w:r>
              <w:rPr>
                <w:rFonts w:ascii="Arial" w:hAnsi="Arial" w:cs="Arial"/>
                <w:color w:val="000000"/>
                <w:sz w:val="18"/>
                <w:szCs w:val="18"/>
              </w:rPr>
              <w:t>.3M</w:t>
            </w:r>
          </w:p>
        </w:tc>
        <w:tc>
          <w:tcPr>
            <w:tcW w:w="1485" w:type="dxa"/>
            <w:vAlign w:val="bottom"/>
          </w:tcPr>
          <w:p w14:paraId="19694FA3" w14:textId="3C948B3B"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Pr="00250D03">
              <w:rPr>
                <w:rFonts w:ascii="Arial" w:hAnsi="Arial" w:cs="Arial"/>
                <w:color w:val="000000"/>
                <w:sz w:val="18"/>
                <w:szCs w:val="18"/>
              </w:rPr>
              <w:t>1.3%</w:t>
            </w:r>
          </w:p>
        </w:tc>
        <w:tc>
          <w:tcPr>
            <w:tcW w:w="1485" w:type="dxa"/>
            <w:gridSpan w:val="2"/>
            <w:tcBorders>
              <w:right w:val="single" w:sz="4" w:space="0" w:color="17365D" w:themeColor="text2" w:themeShade="BF"/>
            </w:tcBorders>
            <w:vAlign w:val="bottom"/>
          </w:tcPr>
          <w:p w14:paraId="7820D590" w14:textId="565D9449"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50D03">
              <w:rPr>
                <w:rFonts w:ascii="Arial" w:hAnsi="Arial" w:cs="Arial"/>
                <w:color w:val="000000"/>
                <w:sz w:val="18"/>
                <w:szCs w:val="18"/>
              </w:rPr>
              <w:t>-2.6%</w:t>
            </w:r>
          </w:p>
        </w:tc>
        <w:tc>
          <w:tcPr>
            <w:tcW w:w="1305" w:type="dxa"/>
            <w:tcBorders>
              <w:left w:val="single" w:sz="4" w:space="0" w:color="17365D" w:themeColor="text2" w:themeShade="BF"/>
            </w:tcBorders>
            <w:vAlign w:val="bottom"/>
          </w:tcPr>
          <w:p w14:paraId="1EADE73E" w14:textId="63C745E0"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50D03">
              <w:rPr>
                <w:rFonts w:ascii="Arial" w:hAnsi="Arial" w:cs="Arial"/>
                <w:color w:val="000000"/>
                <w:sz w:val="18"/>
                <w:szCs w:val="18"/>
              </w:rPr>
              <w:t>$8</w:t>
            </w:r>
            <w:r>
              <w:rPr>
                <w:rFonts w:ascii="Arial" w:hAnsi="Arial" w:cs="Arial"/>
                <w:color w:val="000000"/>
                <w:sz w:val="18"/>
                <w:szCs w:val="18"/>
              </w:rPr>
              <w:t>.6B</w:t>
            </w:r>
          </w:p>
        </w:tc>
        <w:tc>
          <w:tcPr>
            <w:tcW w:w="1665" w:type="dxa"/>
            <w:vAlign w:val="bottom"/>
          </w:tcPr>
          <w:p w14:paraId="108D0361" w14:textId="703651B5"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Pr="00250D03">
              <w:rPr>
                <w:rFonts w:ascii="Arial" w:hAnsi="Arial" w:cs="Arial"/>
                <w:color w:val="000000"/>
                <w:sz w:val="18"/>
                <w:szCs w:val="18"/>
              </w:rPr>
              <w:t>1.3%</w:t>
            </w:r>
          </w:p>
        </w:tc>
        <w:tc>
          <w:tcPr>
            <w:tcW w:w="1486" w:type="dxa"/>
            <w:vAlign w:val="bottom"/>
          </w:tcPr>
          <w:p w14:paraId="0CC74927" w14:textId="4F369956"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50D03">
              <w:rPr>
                <w:rFonts w:ascii="Arial" w:hAnsi="Arial" w:cs="Arial"/>
                <w:color w:val="000000"/>
                <w:sz w:val="18"/>
                <w:szCs w:val="18"/>
              </w:rPr>
              <w:t>-1.0%</w:t>
            </w:r>
          </w:p>
        </w:tc>
      </w:tr>
      <w:tr w:rsidR="00250D03" w:rsidRPr="00F15260" w14:paraId="26343E00" w14:textId="77777777" w:rsidTr="002526B3">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89" w:type="dxa"/>
            <w:shd w:val="clear" w:color="auto" w:fill="D9D9D9" w:themeFill="background1" w:themeFillShade="D9"/>
            <w:vAlign w:val="center"/>
          </w:tcPr>
          <w:p w14:paraId="52E40FF9" w14:textId="773BBA4D" w:rsidR="00250D03" w:rsidRPr="00250D03" w:rsidRDefault="00250D03" w:rsidP="00250D03">
            <w:pPr>
              <w:pStyle w:val="NoSpacing"/>
              <w:rPr>
                <w:rFonts w:ascii="Arial" w:hAnsi="Arial" w:cs="Arial"/>
                <w:b w:val="0"/>
                <w:bCs w:val="0"/>
                <w:color w:val="000000" w:themeColor="text1"/>
                <w:sz w:val="18"/>
                <w:szCs w:val="18"/>
              </w:rPr>
            </w:pPr>
            <w:r w:rsidRPr="00250D03">
              <w:rPr>
                <w:rFonts w:ascii="Arial" w:eastAsia="Times New Roman" w:hAnsi="Arial" w:cs="Arial"/>
                <w:b w:val="0"/>
                <w:color w:val="000000" w:themeColor="text1"/>
                <w:sz w:val="18"/>
                <w:szCs w:val="18"/>
              </w:rPr>
              <w:t>Fresh finfish</w:t>
            </w:r>
          </w:p>
        </w:tc>
        <w:tc>
          <w:tcPr>
            <w:tcW w:w="1305" w:type="dxa"/>
            <w:shd w:val="clear" w:color="auto" w:fill="D9D9D9" w:themeFill="background1" w:themeFillShade="D9"/>
            <w:vAlign w:val="bottom"/>
          </w:tcPr>
          <w:p w14:paraId="1245A996" w14:textId="59A677EB" w:rsidR="00250D03" w:rsidRPr="00250D03" w:rsidRDefault="00250D03" w:rsidP="00250D0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50D03">
              <w:rPr>
                <w:rFonts w:ascii="Arial" w:hAnsi="Arial" w:cs="Arial"/>
                <w:color w:val="000000"/>
                <w:sz w:val="18"/>
                <w:szCs w:val="18"/>
              </w:rPr>
              <w:t>$405</w:t>
            </w:r>
            <w:r>
              <w:rPr>
                <w:rFonts w:ascii="Arial" w:hAnsi="Arial" w:cs="Arial"/>
                <w:color w:val="000000"/>
                <w:sz w:val="18"/>
                <w:szCs w:val="18"/>
              </w:rPr>
              <w:t>.0M</w:t>
            </w:r>
          </w:p>
        </w:tc>
        <w:tc>
          <w:tcPr>
            <w:tcW w:w="1485" w:type="dxa"/>
            <w:shd w:val="clear" w:color="auto" w:fill="D9D9D9" w:themeFill="background1" w:themeFillShade="D9"/>
            <w:vAlign w:val="bottom"/>
          </w:tcPr>
          <w:p w14:paraId="1587A913" w14:textId="29AE2569" w:rsidR="00250D03" w:rsidRPr="00250D03" w:rsidRDefault="00250D03" w:rsidP="00250D0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250D03">
              <w:rPr>
                <w:rFonts w:ascii="Arial" w:hAnsi="Arial" w:cs="Arial"/>
                <w:color w:val="000000"/>
                <w:sz w:val="18"/>
                <w:szCs w:val="18"/>
              </w:rPr>
              <w:t>5.2%</w:t>
            </w:r>
          </w:p>
        </w:tc>
        <w:tc>
          <w:tcPr>
            <w:tcW w:w="1485" w:type="dxa"/>
            <w:gridSpan w:val="2"/>
            <w:tcBorders>
              <w:right w:val="single" w:sz="4" w:space="0" w:color="17365D" w:themeColor="text2" w:themeShade="BF"/>
            </w:tcBorders>
            <w:shd w:val="clear" w:color="auto" w:fill="D9D9D9" w:themeFill="background1" w:themeFillShade="D9"/>
            <w:vAlign w:val="bottom"/>
          </w:tcPr>
          <w:p w14:paraId="106DFF9E" w14:textId="18DDF1DB" w:rsidR="00250D03" w:rsidRPr="00250D03" w:rsidRDefault="00250D03" w:rsidP="00250D0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250D03">
              <w:rPr>
                <w:rFonts w:ascii="Arial" w:hAnsi="Arial" w:cs="Arial"/>
                <w:color w:val="000000"/>
                <w:sz w:val="18"/>
                <w:szCs w:val="18"/>
              </w:rPr>
              <w:t>3.4%</w:t>
            </w:r>
          </w:p>
        </w:tc>
        <w:tc>
          <w:tcPr>
            <w:tcW w:w="1305" w:type="dxa"/>
            <w:tcBorders>
              <w:left w:val="single" w:sz="4" w:space="0" w:color="17365D" w:themeColor="text2" w:themeShade="BF"/>
            </w:tcBorders>
            <w:shd w:val="clear" w:color="auto" w:fill="D9D9D9" w:themeFill="background1" w:themeFillShade="D9"/>
            <w:vAlign w:val="bottom"/>
          </w:tcPr>
          <w:p w14:paraId="66F40F56" w14:textId="2EB95AC6" w:rsidR="00250D03" w:rsidRPr="00250D03" w:rsidRDefault="00250D03" w:rsidP="00250D0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50D03">
              <w:rPr>
                <w:rFonts w:ascii="Arial" w:hAnsi="Arial" w:cs="Arial"/>
                <w:color w:val="000000"/>
                <w:sz w:val="18"/>
                <w:szCs w:val="18"/>
              </w:rPr>
              <w:t>$5</w:t>
            </w:r>
            <w:r>
              <w:rPr>
                <w:rFonts w:ascii="Arial" w:hAnsi="Arial" w:cs="Arial"/>
                <w:color w:val="000000"/>
                <w:sz w:val="18"/>
                <w:szCs w:val="18"/>
              </w:rPr>
              <w:t>.8B</w:t>
            </w:r>
          </w:p>
        </w:tc>
        <w:tc>
          <w:tcPr>
            <w:tcW w:w="1665" w:type="dxa"/>
            <w:shd w:val="clear" w:color="auto" w:fill="D9D9D9" w:themeFill="background1" w:themeFillShade="D9"/>
            <w:vAlign w:val="bottom"/>
          </w:tcPr>
          <w:p w14:paraId="3BFD4643" w14:textId="6EE97B32" w:rsidR="00250D03" w:rsidRPr="00250D03" w:rsidRDefault="00250D03" w:rsidP="00250D0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250D03">
              <w:rPr>
                <w:rFonts w:ascii="Arial" w:hAnsi="Arial" w:cs="Arial"/>
                <w:color w:val="000000"/>
                <w:sz w:val="18"/>
                <w:szCs w:val="18"/>
              </w:rPr>
              <w:t>4.2%</w:t>
            </w:r>
          </w:p>
        </w:tc>
        <w:tc>
          <w:tcPr>
            <w:tcW w:w="1486" w:type="dxa"/>
            <w:shd w:val="clear" w:color="auto" w:fill="D9D9D9" w:themeFill="background1" w:themeFillShade="D9"/>
            <w:vAlign w:val="bottom"/>
          </w:tcPr>
          <w:p w14:paraId="7E7D4104" w14:textId="0E28237B" w:rsidR="00250D03" w:rsidRPr="00250D03" w:rsidRDefault="00250D03" w:rsidP="00250D0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250D03">
              <w:rPr>
                <w:rFonts w:ascii="Arial" w:hAnsi="Arial" w:cs="Arial"/>
                <w:color w:val="000000"/>
                <w:sz w:val="18"/>
                <w:szCs w:val="18"/>
              </w:rPr>
              <w:t>4.2%</w:t>
            </w:r>
          </w:p>
        </w:tc>
      </w:tr>
      <w:tr w:rsidR="00250D03" w:rsidRPr="00F15260" w14:paraId="009F29AD" w14:textId="77777777" w:rsidTr="002526B3">
        <w:trPr>
          <w:trHeight w:val="233"/>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3D3B501B" w14:textId="1157F734" w:rsidR="00250D03" w:rsidRPr="00250D03" w:rsidRDefault="00250D03" w:rsidP="00250D03">
            <w:pPr>
              <w:pStyle w:val="NoSpacing"/>
              <w:rPr>
                <w:rFonts w:ascii="Arial" w:hAnsi="Arial" w:cs="Arial"/>
                <w:b w:val="0"/>
                <w:bCs w:val="0"/>
                <w:color w:val="000000" w:themeColor="text1"/>
                <w:sz w:val="18"/>
                <w:szCs w:val="18"/>
              </w:rPr>
            </w:pPr>
            <w:r w:rsidRPr="00250D03">
              <w:rPr>
                <w:rFonts w:ascii="Arial" w:eastAsia="Times New Roman" w:hAnsi="Arial" w:cs="Arial"/>
                <w:b w:val="0"/>
                <w:color w:val="000000" w:themeColor="text1"/>
                <w:sz w:val="18"/>
                <w:szCs w:val="18"/>
              </w:rPr>
              <w:t>Fresh shellfish</w:t>
            </w:r>
          </w:p>
        </w:tc>
        <w:tc>
          <w:tcPr>
            <w:tcW w:w="1305" w:type="dxa"/>
            <w:vAlign w:val="bottom"/>
          </w:tcPr>
          <w:p w14:paraId="277CE7F0" w14:textId="1DFE3719"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50D03">
              <w:rPr>
                <w:rFonts w:ascii="Arial" w:hAnsi="Arial" w:cs="Arial"/>
                <w:color w:val="000000"/>
                <w:sz w:val="18"/>
                <w:szCs w:val="18"/>
              </w:rPr>
              <w:t>$17</w:t>
            </w:r>
            <w:r>
              <w:rPr>
                <w:rFonts w:ascii="Arial" w:hAnsi="Arial" w:cs="Arial"/>
                <w:color w:val="000000"/>
                <w:sz w:val="18"/>
                <w:szCs w:val="18"/>
              </w:rPr>
              <w:t>1.0M</w:t>
            </w:r>
          </w:p>
        </w:tc>
        <w:tc>
          <w:tcPr>
            <w:tcW w:w="1485" w:type="dxa"/>
            <w:vAlign w:val="bottom"/>
          </w:tcPr>
          <w:p w14:paraId="7DDAAAA4" w14:textId="3114EAAD"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50D03">
              <w:rPr>
                <w:rFonts w:ascii="Arial" w:hAnsi="Arial" w:cs="Arial"/>
                <w:color w:val="000000"/>
                <w:sz w:val="18"/>
                <w:szCs w:val="18"/>
              </w:rPr>
              <w:t>-5.7%</w:t>
            </w:r>
          </w:p>
        </w:tc>
        <w:tc>
          <w:tcPr>
            <w:tcW w:w="1485" w:type="dxa"/>
            <w:gridSpan w:val="2"/>
            <w:tcBorders>
              <w:right w:val="single" w:sz="4" w:space="0" w:color="17365D" w:themeColor="text2" w:themeShade="BF"/>
            </w:tcBorders>
            <w:vAlign w:val="bottom"/>
          </w:tcPr>
          <w:p w14:paraId="48D14838" w14:textId="120F3882"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50D03">
              <w:rPr>
                <w:rFonts w:ascii="Arial" w:hAnsi="Arial" w:cs="Arial"/>
                <w:color w:val="000000"/>
                <w:sz w:val="18"/>
                <w:szCs w:val="18"/>
              </w:rPr>
              <w:t>-13.0%</w:t>
            </w:r>
          </w:p>
        </w:tc>
        <w:tc>
          <w:tcPr>
            <w:tcW w:w="1305" w:type="dxa"/>
            <w:tcBorders>
              <w:left w:val="single" w:sz="4" w:space="0" w:color="17365D" w:themeColor="text2" w:themeShade="BF"/>
            </w:tcBorders>
            <w:vAlign w:val="bottom"/>
          </w:tcPr>
          <w:p w14:paraId="1FCC62E3" w14:textId="6031C3ED"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50D03">
              <w:rPr>
                <w:rFonts w:ascii="Arial" w:hAnsi="Arial" w:cs="Arial"/>
                <w:color w:val="000000"/>
                <w:sz w:val="18"/>
                <w:szCs w:val="18"/>
              </w:rPr>
              <w:t>$2</w:t>
            </w:r>
            <w:r>
              <w:rPr>
                <w:rFonts w:ascii="Arial" w:hAnsi="Arial" w:cs="Arial"/>
                <w:color w:val="000000"/>
                <w:sz w:val="18"/>
                <w:szCs w:val="18"/>
              </w:rPr>
              <w:t>.4B</w:t>
            </w:r>
          </w:p>
        </w:tc>
        <w:tc>
          <w:tcPr>
            <w:tcW w:w="1665" w:type="dxa"/>
            <w:vAlign w:val="bottom"/>
          </w:tcPr>
          <w:p w14:paraId="7EFA706F" w14:textId="38C533D8"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50D03">
              <w:rPr>
                <w:rFonts w:ascii="Arial" w:hAnsi="Arial" w:cs="Arial"/>
                <w:color w:val="000000"/>
                <w:sz w:val="18"/>
                <w:szCs w:val="18"/>
              </w:rPr>
              <w:t>-5.0%</w:t>
            </w:r>
          </w:p>
        </w:tc>
        <w:tc>
          <w:tcPr>
            <w:tcW w:w="1486" w:type="dxa"/>
            <w:vAlign w:val="bottom"/>
          </w:tcPr>
          <w:p w14:paraId="68B84796" w14:textId="390E184C" w:rsidR="00250D03" w:rsidRPr="00250D03" w:rsidRDefault="00250D03"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50D03">
              <w:rPr>
                <w:rFonts w:ascii="Arial" w:hAnsi="Arial" w:cs="Arial"/>
                <w:color w:val="000000"/>
                <w:sz w:val="18"/>
                <w:szCs w:val="18"/>
              </w:rPr>
              <w:t>-10.7%</w:t>
            </w:r>
          </w:p>
        </w:tc>
      </w:tr>
    </w:tbl>
    <w:p w14:paraId="6A89C80D" w14:textId="77777777" w:rsidR="00150F85" w:rsidRPr="00150F85" w:rsidRDefault="00150F85" w:rsidP="00CD6192">
      <w:pPr>
        <w:pStyle w:val="NoSpacing"/>
        <w:rPr>
          <w:rFonts w:ascii="Arial" w:hAnsi="Arial" w:cs="Arial"/>
          <w:color w:val="7F7F7F" w:themeColor="text1" w:themeTint="80"/>
          <w:sz w:val="4"/>
          <w:szCs w:val="4"/>
        </w:rPr>
      </w:pPr>
    </w:p>
    <w:p w14:paraId="46C53BBE" w14:textId="0D49FD5E" w:rsidR="00CD6192" w:rsidRDefault="00CD6192" w:rsidP="00CD6192">
      <w:pPr>
        <w:pStyle w:val="NoSpacing"/>
        <w:rPr>
          <w:rFonts w:ascii="Arial" w:hAnsi="Arial" w:cs="Arial"/>
          <w:color w:val="7F7F7F" w:themeColor="text1" w:themeTint="80"/>
          <w:sz w:val="16"/>
          <w:szCs w:val="16"/>
        </w:rPr>
      </w:pPr>
      <w:r w:rsidRPr="00E61F90">
        <w:rPr>
          <w:rFonts w:ascii="Arial" w:hAnsi="Arial" w:cs="Arial"/>
          <w:color w:val="7F7F7F" w:themeColor="text1" w:themeTint="80"/>
          <w:sz w:val="16"/>
          <w:szCs w:val="16"/>
        </w:rPr>
        <w:t xml:space="preserve">Source: </w:t>
      </w:r>
      <w:proofErr w:type="spellStart"/>
      <w:r w:rsidR="007A44BE" w:rsidRPr="00E61F90">
        <w:rPr>
          <w:rFonts w:ascii="Arial" w:hAnsi="Arial" w:cs="Arial"/>
          <w:color w:val="7F7F7F" w:themeColor="text1" w:themeTint="80"/>
          <w:sz w:val="16"/>
          <w:szCs w:val="16"/>
        </w:rPr>
        <w:t>Circana</w:t>
      </w:r>
      <w:proofErr w:type="spellEnd"/>
      <w:r w:rsidRPr="00E61F90">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p w14:paraId="229E3509" w14:textId="77777777" w:rsidR="00CB5D1F" w:rsidRPr="00CB5D1F" w:rsidRDefault="00CB5D1F" w:rsidP="00CD6192">
      <w:pPr>
        <w:pStyle w:val="NoSpacing"/>
        <w:rPr>
          <w:rFonts w:ascii="Arial" w:hAnsi="Arial" w:cs="Arial"/>
          <w:color w:val="7F7F7F" w:themeColor="text1" w:themeTint="80"/>
          <w:sz w:val="10"/>
          <w:szCs w:val="10"/>
        </w:rPr>
      </w:pPr>
    </w:p>
    <w:p w14:paraId="51101AB3" w14:textId="77777777" w:rsidR="00FF2D5F" w:rsidRDefault="00FF2D5F">
      <w:pPr>
        <w:rPr>
          <w:rFonts w:ascii="Arial" w:hAnsi="Arial" w:cs="Arial"/>
          <w:bCs/>
          <w:color w:val="000000" w:themeColor="text1"/>
          <w:sz w:val="20"/>
          <w:szCs w:val="16"/>
        </w:rPr>
      </w:pPr>
      <w:r>
        <w:rPr>
          <w:rFonts w:ascii="Arial" w:hAnsi="Arial" w:cs="Arial"/>
          <w:bCs/>
          <w:color w:val="000000" w:themeColor="text1"/>
          <w:sz w:val="20"/>
          <w:szCs w:val="16"/>
        </w:rPr>
        <w:br w:type="page"/>
      </w:r>
    </w:p>
    <w:p w14:paraId="4D0124C8" w14:textId="77777777" w:rsidR="00FF2D5F" w:rsidRDefault="00FF2D5F" w:rsidP="009F1921">
      <w:pPr>
        <w:pStyle w:val="NoSpacing"/>
        <w:rPr>
          <w:rFonts w:ascii="Arial" w:hAnsi="Arial" w:cs="Arial"/>
          <w:bCs/>
          <w:color w:val="000000" w:themeColor="text1"/>
          <w:sz w:val="20"/>
          <w:szCs w:val="16"/>
        </w:rPr>
      </w:pPr>
    </w:p>
    <w:p w14:paraId="7A8F79FD" w14:textId="03EF374A" w:rsidR="009F1921" w:rsidRDefault="005F15D5" w:rsidP="009F1921">
      <w:pPr>
        <w:pStyle w:val="NoSpacing"/>
        <w:rPr>
          <w:rFonts w:ascii="Arial" w:hAnsi="Arial" w:cs="Arial"/>
          <w:sz w:val="20"/>
          <w:szCs w:val="20"/>
        </w:rPr>
      </w:pPr>
      <w:r>
        <w:rPr>
          <w:rFonts w:ascii="Arial" w:hAnsi="Arial" w:cs="Arial"/>
          <w:bCs/>
          <w:color w:val="000000" w:themeColor="text1"/>
          <w:sz w:val="20"/>
          <w:szCs w:val="16"/>
        </w:rPr>
        <w:t>The very different growth trajectories between finfish and shellfish are clearly demonstrated by the line graphs below. Whereas finfish dollar and pound sales have been increasing since late 2024, shellfish sales have been trending in the negative since the start of 2024</w:t>
      </w:r>
      <w:r w:rsidR="009F1921">
        <w:rPr>
          <w:rFonts w:ascii="Arial" w:hAnsi="Arial" w:cs="Arial"/>
          <w:sz w:val="20"/>
          <w:szCs w:val="20"/>
        </w:rPr>
        <w:t>.</w:t>
      </w:r>
      <w:r>
        <w:rPr>
          <w:rFonts w:ascii="Arial" w:hAnsi="Arial" w:cs="Arial"/>
          <w:sz w:val="20"/>
          <w:szCs w:val="20"/>
        </w:rPr>
        <w:t xml:space="preserve"> Sales dipped in the third quarter of 2025, with </w:t>
      </w:r>
      <w:r w:rsidR="00FF2D5F">
        <w:rPr>
          <w:rFonts w:ascii="Arial" w:hAnsi="Arial" w:cs="Arial"/>
          <w:sz w:val="20"/>
          <w:szCs w:val="20"/>
        </w:rPr>
        <w:t xml:space="preserve">November sales matching Q3 dollar sales and falling slightly below the </w:t>
      </w:r>
      <w:r>
        <w:rPr>
          <w:rFonts w:ascii="Arial" w:hAnsi="Arial" w:cs="Arial"/>
          <w:sz w:val="20"/>
          <w:szCs w:val="20"/>
        </w:rPr>
        <w:t>third-quarter average</w:t>
      </w:r>
      <w:r w:rsidR="00FF2D5F">
        <w:rPr>
          <w:rFonts w:ascii="Arial" w:hAnsi="Arial" w:cs="Arial"/>
          <w:sz w:val="20"/>
          <w:szCs w:val="20"/>
        </w:rPr>
        <w:t xml:space="preserve"> volume growth</w:t>
      </w:r>
      <w:r>
        <w:rPr>
          <w:rFonts w:ascii="Arial" w:hAnsi="Arial" w:cs="Arial"/>
          <w:sz w:val="20"/>
          <w:szCs w:val="20"/>
        </w:rPr>
        <w:t xml:space="preserve">. </w:t>
      </w:r>
      <w:r w:rsidR="009F1921">
        <w:rPr>
          <w:rFonts w:ascii="Arial" w:hAnsi="Arial" w:cs="Arial"/>
          <w:sz w:val="20"/>
          <w:szCs w:val="20"/>
        </w:rPr>
        <w:t xml:space="preserve">   </w:t>
      </w:r>
    </w:p>
    <w:p w14:paraId="1B8976D1" w14:textId="527409FD" w:rsidR="009F1921" w:rsidRDefault="009F1921" w:rsidP="001445C0">
      <w:pPr>
        <w:pStyle w:val="NoSpacing"/>
        <w:rPr>
          <w:rFonts w:ascii="Arial" w:hAnsi="Arial" w:cs="Arial"/>
          <w:sz w:val="20"/>
          <w:szCs w:val="20"/>
        </w:rPr>
      </w:pPr>
      <w:r>
        <w:rPr>
          <w:noProof/>
          <w:lang w:val="nl-NL" w:eastAsia="nl-NL"/>
        </w:rPr>
        <mc:AlternateContent>
          <mc:Choice Requires="wps">
            <w:drawing>
              <wp:anchor distT="0" distB="0" distL="114300" distR="114300" simplePos="0" relativeHeight="251691008" behindDoc="0" locked="0" layoutInCell="1" allowOverlap="1" wp14:anchorId="01CBEC34" wp14:editId="0CD4DAF6">
                <wp:simplePos x="0" y="0"/>
                <wp:positionH relativeFrom="margin">
                  <wp:posOffset>63500</wp:posOffset>
                </wp:positionH>
                <wp:positionV relativeFrom="paragraph">
                  <wp:posOffset>2529205</wp:posOffset>
                </wp:positionV>
                <wp:extent cx="2592126" cy="214685"/>
                <wp:effectExtent l="0" t="0" r="0" b="0"/>
                <wp:wrapNone/>
                <wp:docPr id="358987387" name="Text Box 1"/>
                <wp:cNvGraphicFramePr/>
                <a:graphic xmlns:a="http://schemas.openxmlformats.org/drawingml/2006/main">
                  <a:graphicData uri="http://schemas.microsoft.com/office/word/2010/wordprocessingShape">
                    <wps:wsp>
                      <wps:cNvSpPr txBox="1"/>
                      <wps:spPr>
                        <a:xfrm>
                          <a:off x="0" y="0"/>
                          <a:ext cx="2592126" cy="214685"/>
                        </a:xfrm>
                        <a:prstGeom prst="rect">
                          <a:avLst/>
                        </a:prstGeom>
                        <a:solidFill>
                          <a:schemeClr val="lt1"/>
                        </a:solidFill>
                        <a:ln w="6350">
                          <a:noFill/>
                        </a:ln>
                      </wps:spPr>
                      <wps:txbx>
                        <w:txbxContent>
                          <w:p w14:paraId="2E582057" w14:textId="77777777" w:rsidR="00052FAF" w:rsidRPr="003225B0" w:rsidRDefault="00052FAF"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 xml:space="preserve">Source: </w:t>
                            </w:r>
                            <w:proofErr w:type="spellStart"/>
                            <w:r w:rsidRPr="003225B0">
                              <w:rPr>
                                <w:rFonts w:ascii="Arial" w:hAnsi="Arial" w:cs="Arial"/>
                                <w:color w:val="595959" w:themeColor="text1" w:themeTint="A6"/>
                                <w:sz w:val="16"/>
                                <w:szCs w:val="16"/>
                              </w:rPr>
                              <w:t>Circana</w:t>
                            </w:r>
                            <w:proofErr w:type="spellEnd"/>
                            <w:r w:rsidRPr="003225B0">
                              <w:rPr>
                                <w:rFonts w:ascii="Arial" w:hAnsi="Arial" w:cs="Arial"/>
                                <w:color w:val="595959" w:themeColor="text1" w:themeTint="A6"/>
                                <w:sz w:val="16"/>
                                <w:szCs w:val="16"/>
                              </w:rPr>
                              <w:t>,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052FAF" w:rsidRPr="003225B0" w:rsidRDefault="00052FAF" w:rsidP="00F81649">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BEC34" id="Text Box 1" o:spid="_x0000_s1027" type="#_x0000_t202" style="position:absolute;margin-left:5pt;margin-top:199.15pt;width:204.1pt;height:16.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" fillcolor="white [3201]" stroked="f" strokeweight=".5pt">
                <v:textbox>
                  <w:txbxContent>
                    <w:p w14:paraId="2E582057" w14:textId="77777777" w:rsidR="00052FAF" w:rsidRPr="003225B0" w:rsidRDefault="00052FAF"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052FAF" w:rsidRPr="003225B0" w:rsidRDefault="00052FAF" w:rsidP="00F81649">
                      <w:pPr>
                        <w:rPr>
                          <w:color w:val="595959" w:themeColor="text1" w:themeTint="A6"/>
                        </w:rPr>
                      </w:pPr>
                    </w:p>
                  </w:txbxContent>
                </v:textbox>
                <w10:wrap anchorx="margin"/>
              </v:shape>
            </w:pict>
          </mc:Fallback>
        </mc:AlternateContent>
      </w:r>
      <w:r w:rsidRPr="00325C3A">
        <w:rPr>
          <w:rFonts w:ascii="Arial" w:hAnsi="Arial" w:cs="Arial"/>
          <w:bCs/>
          <w:noProof/>
          <w:color w:val="660066"/>
          <w:sz w:val="20"/>
          <w:szCs w:val="16"/>
          <w:shd w:val="clear" w:color="auto" w:fill="00B0F0"/>
          <w:lang w:val="nl-NL" w:eastAsia="nl-NL"/>
        </w:rPr>
        <w:drawing>
          <wp:anchor distT="0" distB="0" distL="114300" distR="114300" simplePos="0" relativeHeight="251688960" behindDoc="1" locked="0" layoutInCell="1" allowOverlap="1" wp14:anchorId="2FA710A4" wp14:editId="7053849F">
            <wp:simplePos x="0" y="0"/>
            <wp:positionH relativeFrom="margin">
              <wp:posOffset>-44450</wp:posOffset>
            </wp:positionH>
            <wp:positionV relativeFrom="paragraph">
              <wp:posOffset>176530</wp:posOffset>
            </wp:positionV>
            <wp:extent cx="6675120" cy="2671445"/>
            <wp:effectExtent l="0" t="0" r="0" b="0"/>
            <wp:wrapTight wrapText="bothSides">
              <wp:wrapPolygon edited="0">
                <wp:start x="0" y="0"/>
                <wp:lineTo x="0" y="21410"/>
                <wp:lineTo x="21514" y="21410"/>
                <wp:lineTo x="21514" y="0"/>
                <wp:lineTo x="0" y="0"/>
              </wp:wrapPolygon>
            </wp:wrapTight>
            <wp:docPr id="17183674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14:paraId="29146A62" w14:textId="11F5D447" w:rsidR="009F1921" w:rsidRDefault="00B31BA7" w:rsidP="001445C0">
      <w:pPr>
        <w:pStyle w:val="NoSpacing"/>
        <w:rPr>
          <w:rFonts w:ascii="Arial" w:hAnsi="Arial" w:cs="Arial"/>
          <w:sz w:val="20"/>
          <w:szCs w:val="20"/>
        </w:rPr>
      </w:pPr>
      <w:r>
        <w:rPr>
          <w:noProof/>
          <w:lang w:val="nl-NL" w:eastAsia="nl-NL"/>
        </w:rPr>
        <mc:AlternateContent>
          <mc:Choice Requires="wps">
            <w:drawing>
              <wp:anchor distT="0" distB="0" distL="114300" distR="114300" simplePos="0" relativeHeight="251682303" behindDoc="0" locked="0" layoutInCell="1" allowOverlap="1" wp14:anchorId="4B2FEF61" wp14:editId="2A12D397">
                <wp:simplePos x="0" y="0"/>
                <wp:positionH relativeFrom="margin">
                  <wp:align>left</wp:align>
                </wp:positionH>
                <wp:positionV relativeFrom="paragraph">
                  <wp:posOffset>5612765</wp:posOffset>
                </wp:positionV>
                <wp:extent cx="2592070" cy="214630"/>
                <wp:effectExtent l="0" t="0" r="0" b="0"/>
                <wp:wrapNone/>
                <wp:docPr id="1049187584" name="Text Box 1"/>
                <wp:cNvGraphicFramePr/>
                <a:graphic xmlns:a="http://schemas.openxmlformats.org/drawingml/2006/main">
                  <a:graphicData uri="http://schemas.microsoft.com/office/word/2010/wordprocessingShape">
                    <wps:wsp>
                      <wps:cNvSpPr txBox="1"/>
                      <wps:spPr>
                        <a:xfrm>
                          <a:off x="0" y="0"/>
                          <a:ext cx="2592070" cy="214630"/>
                        </a:xfrm>
                        <a:prstGeom prst="rect">
                          <a:avLst/>
                        </a:prstGeom>
                        <a:solidFill>
                          <a:schemeClr val="lt1"/>
                        </a:solidFill>
                        <a:ln w="6350">
                          <a:noFill/>
                        </a:ln>
                      </wps:spPr>
                      <wps:txbx>
                        <w:txbxContent>
                          <w:p w14:paraId="0F4E3802" w14:textId="068BFA89" w:rsidR="00052FAF" w:rsidRPr="003225B0" w:rsidRDefault="00052FAF"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 xml:space="preserve">Source: </w:t>
                            </w:r>
                            <w:proofErr w:type="spellStart"/>
                            <w:r w:rsidRPr="003225B0">
                              <w:rPr>
                                <w:rFonts w:ascii="Arial" w:hAnsi="Arial" w:cs="Arial"/>
                                <w:color w:val="595959" w:themeColor="text1" w:themeTint="A6"/>
                                <w:sz w:val="16"/>
                                <w:szCs w:val="16"/>
                              </w:rPr>
                              <w:t>Circana</w:t>
                            </w:r>
                            <w:proofErr w:type="spellEnd"/>
                            <w:r w:rsidRPr="003225B0">
                              <w:rPr>
                                <w:rFonts w:ascii="Arial" w:hAnsi="Arial" w:cs="Arial"/>
                                <w:color w:val="595959" w:themeColor="text1" w:themeTint="A6"/>
                                <w:sz w:val="16"/>
                                <w:szCs w:val="16"/>
                              </w:rPr>
                              <w:t>,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052FAF" w:rsidRPr="003225B0" w:rsidRDefault="00052FAF" w:rsidP="003225B0">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FEF61" id="_x0000_s1028" type="#_x0000_t202" style="position:absolute;margin-left:0;margin-top:441.95pt;width:204.1pt;height:16.9pt;z-index:25168230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" fillcolor="white [3201]" stroked="f" strokeweight=".5pt">
                <v:textbox>
                  <w:txbxContent>
                    <w:p w14:paraId="0F4E3802" w14:textId="068BFA89" w:rsidR="00052FAF" w:rsidRPr="003225B0" w:rsidRDefault="00052FAF"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052FAF" w:rsidRPr="003225B0" w:rsidRDefault="00052FAF" w:rsidP="003225B0">
                      <w:pPr>
                        <w:rPr>
                          <w:color w:val="595959" w:themeColor="text1" w:themeTint="A6"/>
                        </w:rPr>
                      </w:pPr>
                    </w:p>
                  </w:txbxContent>
                </v:textbox>
                <w10:wrap anchorx="margin"/>
              </v:shape>
            </w:pict>
          </mc:Fallback>
        </mc:AlternateContent>
      </w:r>
      <w:r w:rsidR="005F15D5" w:rsidRPr="00C230D2">
        <w:rPr>
          <w:rFonts w:ascii="Arial" w:hAnsi="Arial" w:cs="Arial"/>
          <w:bCs/>
          <w:noProof/>
          <w:color w:val="660066"/>
          <w:sz w:val="20"/>
          <w:szCs w:val="16"/>
          <w:lang w:val="nl-NL" w:eastAsia="nl-NL"/>
        </w:rPr>
        <w:drawing>
          <wp:anchor distT="0" distB="0" distL="114300" distR="114300" simplePos="0" relativeHeight="251692032" behindDoc="0" locked="0" layoutInCell="1" allowOverlap="1" wp14:anchorId="352AF376" wp14:editId="411424AF">
            <wp:simplePos x="0" y="0"/>
            <wp:positionH relativeFrom="page">
              <wp:posOffset>520065</wp:posOffset>
            </wp:positionH>
            <wp:positionV relativeFrom="paragraph">
              <wp:posOffset>3027680</wp:posOffset>
            </wp:positionV>
            <wp:extent cx="6750685" cy="2734945"/>
            <wp:effectExtent l="0" t="0" r="0" b="0"/>
            <wp:wrapSquare wrapText="bothSides"/>
            <wp:docPr id="10703587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FF2D5F">
        <w:rPr>
          <w:rFonts w:ascii="Arial" w:hAnsi="Arial" w:cs="Arial"/>
          <w:sz w:val="20"/>
          <w:szCs w:val="20"/>
        </w:rPr>
        <w:t>November shellfish results fell below the third quarter average</w:t>
      </w:r>
      <w:r w:rsidR="00A63054">
        <w:rPr>
          <w:rFonts w:ascii="Arial" w:hAnsi="Arial" w:cs="Arial"/>
          <w:sz w:val="20"/>
          <w:szCs w:val="20"/>
        </w:rPr>
        <w:t xml:space="preserve">. </w:t>
      </w:r>
    </w:p>
    <w:p w14:paraId="018AD182" w14:textId="5AFB9293" w:rsidR="006F697A" w:rsidRPr="009F1921" w:rsidRDefault="006F697A" w:rsidP="001445C0">
      <w:pPr>
        <w:pStyle w:val="NoSpacing"/>
        <w:rPr>
          <w:rFonts w:ascii="Arial" w:hAnsi="Arial" w:cs="Arial"/>
          <w:bCs/>
          <w:color w:val="000000" w:themeColor="text1"/>
          <w:sz w:val="20"/>
          <w:szCs w:val="16"/>
        </w:rPr>
      </w:pPr>
    </w:p>
    <w:p w14:paraId="1AAFA0F8" w14:textId="77777777" w:rsidR="009A4E52" w:rsidRDefault="009A4E52" w:rsidP="004970F6">
      <w:pPr>
        <w:pStyle w:val="NoSpacing"/>
        <w:rPr>
          <w:rFonts w:ascii="Arial" w:hAnsi="Arial" w:cs="Arial"/>
          <w:b/>
          <w:color w:val="00857C"/>
          <w:sz w:val="24"/>
          <w:szCs w:val="20"/>
        </w:rPr>
      </w:pPr>
    </w:p>
    <w:p w14:paraId="0D100CAD" w14:textId="7BF25D45" w:rsidR="00AA6F81" w:rsidRPr="00C24355" w:rsidRDefault="00034CAB" w:rsidP="004970F6">
      <w:pPr>
        <w:pStyle w:val="NoSpacing"/>
        <w:rPr>
          <w:rFonts w:ascii="Arial" w:hAnsi="Arial" w:cs="Arial"/>
          <w:b/>
          <w:color w:val="00857C"/>
          <w:sz w:val="24"/>
          <w:szCs w:val="20"/>
        </w:rPr>
      </w:pPr>
      <w:r w:rsidRPr="00C24355">
        <w:rPr>
          <w:rFonts w:ascii="Arial" w:hAnsi="Arial" w:cs="Arial"/>
          <w:b/>
          <w:color w:val="00857C"/>
          <w:sz w:val="24"/>
          <w:szCs w:val="20"/>
        </w:rPr>
        <w:t>Top Species</w:t>
      </w:r>
    </w:p>
    <w:p w14:paraId="2EE01DCC" w14:textId="77777777" w:rsidR="00D14688" w:rsidRDefault="0037441C" w:rsidP="0013078F">
      <w:pPr>
        <w:pStyle w:val="NoSpacing"/>
        <w:rPr>
          <w:rFonts w:ascii="Arial" w:hAnsi="Arial" w:cs="Arial"/>
          <w:color w:val="000000" w:themeColor="text1"/>
          <w:sz w:val="20"/>
          <w:szCs w:val="20"/>
        </w:rPr>
      </w:pPr>
      <w:r>
        <w:rPr>
          <w:rFonts w:ascii="Arial" w:hAnsi="Arial" w:cs="Arial"/>
          <w:color w:val="000000" w:themeColor="text1"/>
          <w:sz w:val="20"/>
          <w:szCs w:val="20"/>
        </w:rPr>
        <w:t xml:space="preserve">Species-level data </w:t>
      </w:r>
      <w:r w:rsidR="00110DFD">
        <w:rPr>
          <w:rFonts w:ascii="Arial" w:hAnsi="Arial" w:cs="Arial"/>
          <w:color w:val="000000" w:themeColor="text1"/>
          <w:sz w:val="20"/>
          <w:szCs w:val="20"/>
        </w:rPr>
        <w:t>shows the dominance of salmon in the fresh/refrigerated seafood department</w:t>
      </w:r>
      <w:r w:rsidR="00B31BA7">
        <w:rPr>
          <w:rFonts w:ascii="Arial" w:hAnsi="Arial" w:cs="Arial"/>
          <w:color w:val="000000" w:themeColor="text1"/>
          <w:sz w:val="20"/>
          <w:szCs w:val="20"/>
        </w:rPr>
        <w:t>.</w:t>
      </w:r>
      <w:r w:rsidR="00110DFD">
        <w:rPr>
          <w:rFonts w:ascii="Arial" w:hAnsi="Arial" w:cs="Arial"/>
          <w:color w:val="000000" w:themeColor="text1"/>
          <w:sz w:val="20"/>
          <w:szCs w:val="20"/>
        </w:rPr>
        <w:t xml:space="preserve"> With $293 million in sales, salmon represented close to half of all seafood sales in November. Additionally, salmon generated substantial gains in dollars and pounds. </w:t>
      </w:r>
    </w:p>
    <w:p w14:paraId="4F2B0320" w14:textId="77777777" w:rsidR="00D14688" w:rsidRDefault="00D14688" w:rsidP="0013078F">
      <w:pPr>
        <w:pStyle w:val="NoSpacing"/>
        <w:rPr>
          <w:rFonts w:ascii="Arial" w:hAnsi="Arial" w:cs="Arial"/>
          <w:color w:val="000000" w:themeColor="text1"/>
          <w:sz w:val="20"/>
          <w:szCs w:val="20"/>
        </w:rPr>
      </w:pPr>
    </w:p>
    <w:p w14:paraId="60C42216" w14:textId="6716FE00" w:rsidR="00AB4847" w:rsidRDefault="00D14688" w:rsidP="0013078F">
      <w:pPr>
        <w:pStyle w:val="NoSpacing"/>
        <w:rPr>
          <w:rFonts w:ascii="Arial" w:hAnsi="Arial" w:cs="Arial"/>
          <w:color w:val="000000" w:themeColor="text1"/>
          <w:sz w:val="20"/>
          <w:szCs w:val="20"/>
        </w:rPr>
      </w:pPr>
      <w:r>
        <w:rPr>
          <w:rFonts w:ascii="Arial" w:hAnsi="Arial" w:cs="Arial"/>
          <w:color w:val="000000" w:themeColor="text1"/>
          <w:sz w:val="20"/>
          <w:szCs w:val="20"/>
        </w:rPr>
        <w:t>Shrimp sales moved ahead of crab, due to inflation and the decline in pounds</w:t>
      </w:r>
      <w:r w:rsidR="00562ED9">
        <w:rPr>
          <w:rFonts w:ascii="Arial" w:hAnsi="Arial" w:cs="Arial"/>
          <w:color w:val="000000" w:themeColor="text1"/>
          <w:sz w:val="20"/>
          <w:szCs w:val="20"/>
        </w:rPr>
        <w:t xml:space="preserve"> (-8.8%)</w:t>
      </w:r>
      <w:r>
        <w:rPr>
          <w:rFonts w:ascii="Arial" w:hAnsi="Arial" w:cs="Arial"/>
          <w:color w:val="000000" w:themeColor="text1"/>
          <w:sz w:val="20"/>
          <w:szCs w:val="20"/>
        </w:rPr>
        <w:t xml:space="preserve"> being more moderate than the 28.4% decrease in crab sales. </w:t>
      </w:r>
    </w:p>
    <w:p w14:paraId="455ED8BB" w14:textId="77777777" w:rsidR="00562ED9" w:rsidRDefault="00562ED9" w:rsidP="0013078F">
      <w:pPr>
        <w:pStyle w:val="NoSpacing"/>
        <w:rPr>
          <w:rFonts w:ascii="Arial" w:hAnsi="Arial" w:cs="Arial"/>
          <w:color w:val="000000" w:themeColor="text1"/>
          <w:sz w:val="20"/>
          <w:szCs w:val="20"/>
        </w:rPr>
      </w:pPr>
    </w:p>
    <w:p w14:paraId="35A6D1EA" w14:textId="0B026460" w:rsidR="00FF2D5F" w:rsidRDefault="00562ED9" w:rsidP="00562ED9">
      <w:pPr>
        <w:pStyle w:val="NoSpacing"/>
        <w:rPr>
          <w:b/>
          <w:bCs/>
        </w:rPr>
      </w:pPr>
      <w:r>
        <w:rPr>
          <w:rFonts w:ascii="Arial" w:hAnsi="Arial" w:cs="Arial"/>
          <w:color w:val="000000" w:themeColor="text1"/>
          <w:sz w:val="20"/>
          <w:szCs w:val="20"/>
        </w:rPr>
        <w:t>In addition to salmon gains, tilapia and trout also showed robust growth in November as well as the full year.</w:t>
      </w:r>
      <w:r w:rsidR="00FF2D5F">
        <w:rPr>
          <w:b/>
          <w:bCs/>
        </w:rPr>
        <w:br w:type="page"/>
      </w:r>
    </w:p>
    <w:p w14:paraId="4E92DD46" w14:textId="77777777" w:rsidR="00FF2D5F" w:rsidRDefault="00FF2D5F"/>
    <w:tbl>
      <w:tblPr>
        <w:tblStyle w:val="ListTable2"/>
        <w:tblW w:w="10530"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1890"/>
        <w:gridCol w:w="1305"/>
        <w:gridCol w:w="1485"/>
        <w:gridCol w:w="1485"/>
        <w:gridCol w:w="45"/>
        <w:gridCol w:w="1440"/>
        <w:gridCol w:w="1485"/>
        <w:gridCol w:w="1395"/>
      </w:tblGrid>
      <w:tr w:rsidR="00C75C35" w:rsidRPr="00A80540" w14:paraId="773006A3" w14:textId="77777777" w:rsidTr="005A1DA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22336A7F" w14:textId="0B28C1FE" w:rsidR="00C75C35" w:rsidRPr="00A80540" w:rsidRDefault="00C75C35" w:rsidP="00C75C35">
            <w:pPr>
              <w:pStyle w:val="NoSpacing"/>
              <w:rPr>
                <w:rFonts w:ascii="Arial" w:hAnsi="Arial" w:cs="Arial"/>
                <w:color w:val="FFFFFF" w:themeColor="background1"/>
                <w:sz w:val="18"/>
                <w:szCs w:val="18"/>
              </w:rPr>
            </w:pPr>
          </w:p>
        </w:tc>
        <w:tc>
          <w:tcPr>
            <w:tcW w:w="4320" w:type="dxa"/>
            <w:gridSpan w:val="4"/>
            <w:shd w:val="clear" w:color="auto" w:fill="17365D" w:themeFill="text2" w:themeFillShade="BF"/>
          </w:tcPr>
          <w:p w14:paraId="298942DC" w14:textId="478E73DF" w:rsidR="00C75C35" w:rsidRPr="00A80540" w:rsidRDefault="00F6094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November 2025</w:t>
            </w:r>
          </w:p>
        </w:tc>
        <w:tc>
          <w:tcPr>
            <w:tcW w:w="4320" w:type="dxa"/>
            <w:gridSpan w:val="3"/>
            <w:tcBorders>
              <w:left w:val="nil"/>
            </w:tcBorders>
            <w:shd w:val="clear" w:color="auto" w:fill="17365D" w:themeFill="text2" w:themeFillShade="BF"/>
          </w:tcPr>
          <w:p w14:paraId="11D6C429" w14:textId="224221A2"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53393" w:rsidRPr="00A80540" w14:paraId="318168B7" w14:textId="77777777" w:rsidTr="0062469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087B8415" w14:textId="77777777" w:rsidR="004F31D8" w:rsidRPr="00A80540" w:rsidRDefault="004F31D8" w:rsidP="002602E1">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305" w:type="dxa"/>
            <w:shd w:val="clear" w:color="auto" w:fill="17365D" w:themeFill="text2" w:themeFillShade="BF"/>
          </w:tcPr>
          <w:p w14:paraId="0586C1DF"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1DC829E2"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85" w:type="dxa"/>
            <w:shd w:val="clear" w:color="auto" w:fill="17365D" w:themeFill="text2" w:themeFillShade="BF"/>
          </w:tcPr>
          <w:p w14:paraId="22FB7A7A"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A80540">
              <w:rPr>
                <w:rFonts w:ascii="Arial" w:hAnsi="Arial" w:cs="Arial"/>
                <w:b/>
                <w:bCs/>
                <w:color w:val="FFFFFF" w:themeColor="background1"/>
                <w:sz w:val="18"/>
                <w:szCs w:val="18"/>
              </w:rPr>
              <w:t>Lbs</w:t>
            </w:r>
            <w:proofErr w:type="spellEnd"/>
            <w:r w:rsidRPr="00A80540">
              <w:rPr>
                <w:rFonts w:ascii="Arial" w:hAnsi="Arial" w:cs="Arial"/>
                <w:b/>
                <w:bCs/>
                <w:color w:val="FFFFFF" w:themeColor="background1"/>
                <w:sz w:val="18"/>
                <w:szCs w:val="18"/>
              </w:rPr>
              <w:t xml:space="preserve"> vs. YA</w:t>
            </w:r>
          </w:p>
        </w:tc>
        <w:tc>
          <w:tcPr>
            <w:tcW w:w="1485" w:type="dxa"/>
            <w:gridSpan w:val="2"/>
            <w:tcBorders>
              <w:left w:val="nil"/>
            </w:tcBorders>
            <w:shd w:val="clear" w:color="auto" w:fill="17365D" w:themeFill="text2" w:themeFillShade="BF"/>
          </w:tcPr>
          <w:p w14:paraId="249656B7"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36896D64"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395" w:type="dxa"/>
            <w:shd w:val="clear" w:color="auto" w:fill="17365D" w:themeFill="text2" w:themeFillShade="BF"/>
          </w:tcPr>
          <w:p w14:paraId="51367709"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A80540">
              <w:rPr>
                <w:rFonts w:ascii="Arial" w:hAnsi="Arial" w:cs="Arial"/>
                <w:b/>
                <w:bCs/>
                <w:color w:val="FFFFFF" w:themeColor="background1"/>
                <w:sz w:val="18"/>
                <w:szCs w:val="18"/>
              </w:rPr>
              <w:t>Lbs</w:t>
            </w:r>
            <w:proofErr w:type="spellEnd"/>
            <w:r w:rsidRPr="00A80540">
              <w:rPr>
                <w:rFonts w:ascii="Arial" w:hAnsi="Arial" w:cs="Arial"/>
                <w:b/>
                <w:bCs/>
                <w:color w:val="FFFFFF" w:themeColor="background1"/>
                <w:sz w:val="18"/>
                <w:szCs w:val="18"/>
              </w:rPr>
              <w:t xml:space="preserve"> vs. YA</w:t>
            </w:r>
          </w:p>
        </w:tc>
      </w:tr>
      <w:tr w:rsidR="00110DFD" w:rsidRPr="00B86F96" w14:paraId="16F40298" w14:textId="77777777" w:rsidTr="00937434">
        <w:trPr>
          <w:trHeight w:val="188"/>
        </w:trPr>
        <w:tc>
          <w:tcPr>
            <w:cnfStyle w:val="001000000000" w:firstRow="0" w:lastRow="0" w:firstColumn="1" w:lastColumn="0" w:oddVBand="0" w:evenVBand="0" w:oddHBand="0" w:evenHBand="0" w:firstRowFirstColumn="0" w:firstRowLastColumn="0" w:lastRowFirstColumn="0" w:lastRowLastColumn="0"/>
            <w:tcW w:w="1890" w:type="dxa"/>
          </w:tcPr>
          <w:p w14:paraId="4C9B0328" w14:textId="77777777" w:rsidR="00110DFD" w:rsidRPr="00110DFD" w:rsidRDefault="00110DFD" w:rsidP="00110DFD">
            <w:pPr>
              <w:pStyle w:val="NoSpacing"/>
              <w:rPr>
                <w:rFonts w:ascii="Arial" w:hAnsi="Arial" w:cs="Arial"/>
                <w:color w:val="000000" w:themeColor="text1"/>
                <w:sz w:val="18"/>
                <w:szCs w:val="18"/>
              </w:rPr>
            </w:pPr>
            <w:r w:rsidRPr="00110DFD">
              <w:rPr>
                <w:rFonts w:ascii="Arial" w:eastAsia="Times New Roman" w:hAnsi="Arial" w:cs="Arial"/>
                <w:color w:val="000000" w:themeColor="text1"/>
                <w:sz w:val="18"/>
                <w:szCs w:val="18"/>
              </w:rPr>
              <w:t>Total fresh seafood</w:t>
            </w:r>
          </w:p>
        </w:tc>
        <w:tc>
          <w:tcPr>
            <w:tcW w:w="1305" w:type="dxa"/>
            <w:vAlign w:val="bottom"/>
          </w:tcPr>
          <w:p w14:paraId="71D4E4BA" w14:textId="1544A275" w:rsidR="00110DFD" w:rsidRPr="00110DFD" w:rsidRDefault="00110DFD"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110DFD">
              <w:rPr>
                <w:rFonts w:ascii="Arial" w:hAnsi="Arial" w:cs="Arial"/>
                <w:color w:val="000000"/>
                <w:sz w:val="18"/>
                <w:szCs w:val="18"/>
              </w:rPr>
              <w:t>$606</w:t>
            </w:r>
            <w:r>
              <w:rPr>
                <w:rFonts w:ascii="Arial" w:hAnsi="Arial" w:cs="Arial"/>
                <w:color w:val="000000"/>
                <w:sz w:val="18"/>
                <w:szCs w:val="18"/>
              </w:rPr>
              <w:t>.3M</w:t>
            </w:r>
          </w:p>
        </w:tc>
        <w:tc>
          <w:tcPr>
            <w:tcW w:w="1485" w:type="dxa"/>
            <w:vAlign w:val="bottom"/>
          </w:tcPr>
          <w:p w14:paraId="0F57B38D" w14:textId="144C933B" w:rsidR="00110DFD" w:rsidRPr="00110DFD" w:rsidRDefault="00110DFD"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Pr="00110DFD">
              <w:rPr>
                <w:rFonts w:ascii="Arial" w:hAnsi="Arial" w:cs="Arial"/>
                <w:color w:val="000000"/>
                <w:sz w:val="18"/>
                <w:szCs w:val="18"/>
              </w:rPr>
              <w:t>1.3%</w:t>
            </w:r>
          </w:p>
        </w:tc>
        <w:tc>
          <w:tcPr>
            <w:tcW w:w="1485" w:type="dxa"/>
            <w:tcBorders>
              <w:right w:val="single" w:sz="4" w:space="0" w:color="auto"/>
            </w:tcBorders>
            <w:vAlign w:val="bottom"/>
          </w:tcPr>
          <w:p w14:paraId="328FE4FE" w14:textId="6D725066" w:rsidR="00110DFD" w:rsidRPr="00110DFD" w:rsidRDefault="00110DFD"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110DFD">
              <w:rPr>
                <w:rFonts w:ascii="Arial" w:hAnsi="Arial" w:cs="Arial"/>
                <w:color w:val="000000"/>
                <w:sz w:val="18"/>
                <w:szCs w:val="18"/>
              </w:rPr>
              <w:t>-2.6%</w:t>
            </w:r>
          </w:p>
        </w:tc>
        <w:tc>
          <w:tcPr>
            <w:tcW w:w="1485" w:type="dxa"/>
            <w:gridSpan w:val="2"/>
            <w:tcBorders>
              <w:left w:val="single" w:sz="4" w:space="0" w:color="auto"/>
            </w:tcBorders>
            <w:vAlign w:val="bottom"/>
          </w:tcPr>
          <w:p w14:paraId="5550A3A9" w14:textId="18B4D3B4" w:rsidR="00110DFD" w:rsidRPr="00110DFD" w:rsidRDefault="00110DFD"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110DFD">
              <w:rPr>
                <w:rFonts w:ascii="Arial" w:hAnsi="Arial" w:cs="Arial"/>
                <w:color w:val="000000"/>
                <w:sz w:val="18"/>
                <w:szCs w:val="18"/>
              </w:rPr>
              <w:t>$8</w:t>
            </w:r>
            <w:r>
              <w:rPr>
                <w:rFonts w:ascii="Arial" w:hAnsi="Arial" w:cs="Arial"/>
                <w:color w:val="000000"/>
                <w:sz w:val="18"/>
                <w:szCs w:val="18"/>
              </w:rPr>
              <w:t>.6B</w:t>
            </w:r>
          </w:p>
        </w:tc>
        <w:tc>
          <w:tcPr>
            <w:tcW w:w="1485" w:type="dxa"/>
            <w:vAlign w:val="bottom"/>
          </w:tcPr>
          <w:p w14:paraId="11A37DDD" w14:textId="0DDEE06B" w:rsidR="00110DFD" w:rsidRPr="00110DFD" w:rsidRDefault="00562ED9"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00110DFD" w:rsidRPr="00110DFD">
              <w:rPr>
                <w:rFonts w:ascii="Arial" w:hAnsi="Arial" w:cs="Arial"/>
                <w:color w:val="000000"/>
                <w:sz w:val="18"/>
                <w:szCs w:val="18"/>
              </w:rPr>
              <w:t>1.3%</w:t>
            </w:r>
          </w:p>
        </w:tc>
        <w:tc>
          <w:tcPr>
            <w:tcW w:w="1395" w:type="dxa"/>
            <w:vAlign w:val="bottom"/>
          </w:tcPr>
          <w:p w14:paraId="4820373D" w14:textId="44BABACD" w:rsidR="00110DFD" w:rsidRPr="00110DFD" w:rsidRDefault="00110DFD"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110DFD">
              <w:rPr>
                <w:rFonts w:ascii="Arial" w:hAnsi="Arial" w:cs="Arial"/>
                <w:color w:val="000000"/>
                <w:sz w:val="18"/>
                <w:szCs w:val="18"/>
              </w:rPr>
              <w:t>-1.0%</w:t>
            </w:r>
          </w:p>
        </w:tc>
      </w:tr>
      <w:tr w:rsidR="00110DFD" w:rsidRPr="00F15260" w14:paraId="53921754" w14:textId="77777777" w:rsidTr="00937434">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90" w:type="dxa"/>
          </w:tcPr>
          <w:p w14:paraId="2A14361F" w14:textId="545ADBDC" w:rsidR="00110DFD" w:rsidRPr="00110DFD" w:rsidRDefault="00110DFD" w:rsidP="00110DFD">
            <w:pPr>
              <w:pStyle w:val="NoSpacing"/>
              <w:rPr>
                <w:rFonts w:ascii="Arial" w:hAnsi="Arial" w:cs="Arial"/>
                <w:b w:val="0"/>
                <w:bCs w:val="0"/>
                <w:color w:val="000000" w:themeColor="text1"/>
                <w:sz w:val="18"/>
                <w:szCs w:val="18"/>
              </w:rPr>
            </w:pPr>
            <w:r w:rsidRPr="00110DFD">
              <w:rPr>
                <w:rFonts w:ascii="Arial" w:eastAsia="Times New Roman" w:hAnsi="Arial" w:cs="Arial"/>
                <w:b w:val="0"/>
                <w:color w:val="000000" w:themeColor="text1"/>
                <w:sz w:val="18"/>
                <w:szCs w:val="18"/>
              </w:rPr>
              <w:t>Salmon</w:t>
            </w:r>
          </w:p>
        </w:tc>
        <w:tc>
          <w:tcPr>
            <w:tcW w:w="1305" w:type="dxa"/>
            <w:vAlign w:val="bottom"/>
          </w:tcPr>
          <w:p w14:paraId="646CFFE0" w14:textId="290B2424" w:rsidR="00110DFD" w:rsidRPr="00110DFD" w:rsidRDefault="00110DFD" w:rsidP="00110DF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$293</w:t>
            </w:r>
            <w:r>
              <w:rPr>
                <w:rFonts w:ascii="Arial" w:hAnsi="Arial" w:cs="Arial"/>
                <w:color w:val="000000"/>
                <w:sz w:val="18"/>
                <w:szCs w:val="18"/>
              </w:rPr>
              <w:t>.3M</w:t>
            </w:r>
          </w:p>
        </w:tc>
        <w:tc>
          <w:tcPr>
            <w:tcW w:w="1485" w:type="dxa"/>
            <w:vAlign w:val="bottom"/>
          </w:tcPr>
          <w:p w14:paraId="44A1328E" w14:textId="58B90C6F" w:rsidR="00110DFD" w:rsidRPr="00110DFD" w:rsidRDefault="00110DFD" w:rsidP="00110DF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10DFD">
              <w:rPr>
                <w:rFonts w:ascii="Arial" w:hAnsi="Arial" w:cs="Arial"/>
                <w:color w:val="000000"/>
                <w:sz w:val="18"/>
                <w:szCs w:val="18"/>
              </w:rPr>
              <w:t>6.8%</w:t>
            </w:r>
          </w:p>
        </w:tc>
        <w:tc>
          <w:tcPr>
            <w:tcW w:w="1485" w:type="dxa"/>
            <w:tcBorders>
              <w:right w:val="single" w:sz="4" w:space="0" w:color="auto"/>
            </w:tcBorders>
            <w:vAlign w:val="bottom"/>
          </w:tcPr>
          <w:p w14:paraId="771D46ED" w14:textId="27318E8D" w:rsidR="00110DFD" w:rsidRPr="00110DFD" w:rsidRDefault="00110DFD" w:rsidP="00110DF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10DFD">
              <w:rPr>
                <w:rFonts w:ascii="Arial" w:hAnsi="Arial" w:cs="Arial"/>
                <w:color w:val="000000"/>
                <w:sz w:val="18"/>
                <w:szCs w:val="18"/>
              </w:rPr>
              <w:t>5.6%</w:t>
            </w:r>
          </w:p>
        </w:tc>
        <w:tc>
          <w:tcPr>
            <w:tcW w:w="1485" w:type="dxa"/>
            <w:gridSpan w:val="2"/>
            <w:tcBorders>
              <w:left w:val="single" w:sz="4" w:space="0" w:color="auto"/>
            </w:tcBorders>
            <w:vAlign w:val="bottom"/>
          </w:tcPr>
          <w:p w14:paraId="3936EE08" w14:textId="763B1BF3" w:rsidR="00110DFD" w:rsidRPr="00110DFD" w:rsidRDefault="00110DFD" w:rsidP="00110DF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$4</w:t>
            </w:r>
            <w:r>
              <w:rPr>
                <w:rFonts w:ascii="Arial" w:hAnsi="Arial" w:cs="Arial"/>
                <w:color w:val="000000"/>
                <w:sz w:val="18"/>
                <w:szCs w:val="18"/>
              </w:rPr>
              <w:t>.1B</w:t>
            </w:r>
          </w:p>
        </w:tc>
        <w:tc>
          <w:tcPr>
            <w:tcW w:w="1485" w:type="dxa"/>
            <w:vAlign w:val="bottom"/>
          </w:tcPr>
          <w:p w14:paraId="0B566D2B" w14:textId="3A541455" w:rsidR="00110DFD" w:rsidRPr="00110DFD" w:rsidRDefault="00562ED9" w:rsidP="00110DF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10DFD" w:rsidRPr="00110DFD">
              <w:rPr>
                <w:rFonts w:ascii="Arial" w:hAnsi="Arial" w:cs="Arial"/>
                <w:color w:val="000000"/>
                <w:sz w:val="18"/>
                <w:szCs w:val="18"/>
              </w:rPr>
              <w:t>4.1%</w:t>
            </w:r>
          </w:p>
        </w:tc>
        <w:tc>
          <w:tcPr>
            <w:tcW w:w="1395" w:type="dxa"/>
            <w:vAlign w:val="bottom"/>
          </w:tcPr>
          <w:p w14:paraId="0DA6D04F" w14:textId="69A2CC68" w:rsidR="00110DFD" w:rsidRPr="00110DFD" w:rsidRDefault="00562ED9" w:rsidP="00110DF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10DFD" w:rsidRPr="00110DFD">
              <w:rPr>
                <w:rFonts w:ascii="Arial" w:hAnsi="Arial" w:cs="Arial"/>
                <w:color w:val="000000"/>
                <w:sz w:val="18"/>
                <w:szCs w:val="18"/>
              </w:rPr>
              <w:t>3.2%</w:t>
            </w:r>
          </w:p>
        </w:tc>
      </w:tr>
      <w:tr w:rsidR="00110DFD" w:rsidRPr="00F15260" w14:paraId="7A5F8D6B" w14:textId="77777777" w:rsidTr="00937434">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14575BCE" w14:textId="77777777" w:rsidR="00110DFD" w:rsidRPr="00110DFD" w:rsidRDefault="00110DFD" w:rsidP="00110DFD">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Shrimp</w:t>
            </w:r>
          </w:p>
        </w:tc>
        <w:tc>
          <w:tcPr>
            <w:tcW w:w="1305" w:type="dxa"/>
            <w:vAlign w:val="bottom"/>
          </w:tcPr>
          <w:p w14:paraId="7669ABCC" w14:textId="39AF442F" w:rsidR="00110DFD" w:rsidRPr="00110DFD" w:rsidRDefault="00110DFD"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$64</w:t>
            </w:r>
            <w:r>
              <w:rPr>
                <w:rFonts w:ascii="Arial" w:hAnsi="Arial" w:cs="Arial"/>
                <w:color w:val="000000"/>
                <w:sz w:val="18"/>
                <w:szCs w:val="18"/>
              </w:rPr>
              <w:t>.5M</w:t>
            </w:r>
          </w:p>
        </w:tc>
        <w:tc>
          <w:tcPr>
            <w:tcW w:w="1485" w:type="dxa"/>
            <w:vAlign w:val="bottom"/>
          </w:tcPr>
          <w:p w14:paraId="4EF0B9A1" w14:textId="4E1EDB89" w:rsidR="00110DFD" w:rsidRPr="00110DFD" w:rsidRDefault="00110DFD"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10DFD">
              <w:rPr>
                <w:rFonts w:ascii="Arial" w:hAnsi="Arial" w:cs="Arial"/>
                <w:color w:val="000000"/>
                <w:sz w:val="18"/>
                <w:szCs w:val="18"/>
              </w:rPr>
              <w:t>1.3%</w:t>
            </w:r>
          </w:p>
        </w:tc>
        <w:tc>
          <w:tcPr>
            <w:tcW w:w="1485" w:type="dxa"/>
            <w:tcBorders>
              <w:right w:val="single" w:sz="4" w:space="0" w:color="auto"/>
            </w:tcBorders>
            <w:vAlign w:val="bottom"/>
          </w:tcPr>
          <w:p w14:paraId="040E2D88" w14:textId="03C82E4C" w:rsidR="00110DFD" w:rsidRPr="00110DFD" w:rsidRDefault="00110DFD"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-8.8%</w:t>
            </w:r>
          </w:p>
        </w:tc>
        <w:tc>
          <w:tcPr>
            <w:tcW w:w="1485" w:type="dxa"/>
            <w:gridSpan w:val="2"/>
            <w:tcBorders>
              <w:left w:val="single" w:sz="4" w:space="0" w:color="auto"/>
            </w:tcBorders>
            <w:vAlign w:val="bottom"/>
          </w:tcPr>
          <w:p w14:paraId="2EF57E4B" w14:textId="33C1BD26" w:rsidR="00110DFD" w:rsidRPr="00110DFD" w:rsidRDefault="00110DFD"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$93</w:t>
            </w:r>
            <w:r>
              <w:rPr>
                <w:rFonts w:ascii="Arial" w:hAnsi="Arial" w:cs="Arial"/>
                <w:color w:val="000000"/>
                <w:sz w:val="18"/>
                <w:szCs w:val="18"/>
              </w:rPr>
              <w:t>3.0M</w:t>
            </w:r>
          </w:p>
        </w:tc>
        <w:tc>
          <w:tcPr>
            <w:tcW w:w="1485" w:type="dxa"/>
            <w:vAlign w:val="bottom"/>
          </w:tcPr>
          <w:p w14:paraId="1AFACC74" w14:textId="469CC1D7" w:rsidR="00110DFD" w:rsidRPr="00110DFD" w:rsidRDefault="00562ED9"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10DFD" w:rsidRPr="00110DFD">
              <w:rPr>
                <w:rFonts w:ascii="Arial" w:hAnsi="Arial" w:cs="Arial"/>
                <w:color w:val="000000"/>
                <w:sz w:val="18"/>
                <w:szCs w:val="18"/>
              </w:rPr>
              <w:t>5.8%</w:t>
            </w:r>
          </w:p>
        </w:tc>
        <w:tc>
          <w:tcPr>
            <w:tcW w:w="1395" w:type="dxa"/>
            <w:vAlign w:val="bottom"/>
          </w:tcPr>
          <w:p w14:paraId="22824360" w14:textId="2588B0F0" w:rsidR="00110DFD" w:rsidRPr="00110DFD" w:rsidRDefault="00562ED9"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10DFD" w:rsidRPr="00110DFD">
              <w:rPr>
                <w:rFonts w:ascii="Arial" w:hAnsi="Arial" w:cs="Arial"/>
                <w:color w:val="000000"/>
                <w:sz w:val="18"/>
                <w:szCs w:val="18"/>
              </w:rPr>
              <w:t>3.6%</w:t>
            </w:r>
          </w:p>
        </w:tc>
      </w:tr>
      <w:tr w:rsidR="00110DFD" w:rsidRPr="00F15260" w14:paraId="53108E72" w14:textId="77777777" w:rsidTr="00937434">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90" w:type="dxa"/>
          </w:tcPr>
          <w:p w14:paraId="3839264C" w14:textId="77777777" w:rsidR="00110DFD" w:rsidRPr="00110DFD" w:rsidRDefault="00110DFD" w:rsidP="00110DFD">
            <w:pPr>
              <w:pStyle w:val="NoSpacing"/>
              <w:rPr>
                <w:rFonts w:ascii="Arial" w:hAnsi="Arial" w:cs="Arial"/>
                <w:b w:val="0"/>
                <w:bCs w:val="0"/>
                <w:color w:val="000000" w:themeColor="text1"/>
                <w:sz w:val="18"/>
                <w:szCs w:val="18"/>
              </w:rPr>
            </w:pPr>
            <w:r w:rsidRPr="00110DFD">
              <w:rPr>
                <w:rFonts w:ascii="Arial" w:eastAsia="Times New Roman" w:hAnsi="Arial" w:cs="Arial"/>
                <w:b w:val="0"/>
                <w:color w:val="000000" w:themeColor="text1"/>
                <w:sz w:val="18"/>
                <w:szCs w:val="18"/>
              </w:rPr>
              <w:t>Crab</w:t>
            </w:r>
          </w:p>
        </w:tc>
        <w:tc>
          <w:tcPr>
            <w:tcW w:w="1305" w:type="dxa"/>
            <w:vAlign w:val="bottom"/>
          </w:tcPr>
          <w:p w14:paraId="037F078E" w14:textId="3DF6E572" w:rsidR="00110DFD" w:rsidRPr="00110DFD" w:rsidRDefault="00110DFD" w:rsidP="00110DF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$6</w:t>
            </w:r>
            <w:r>
              <w:rPr>
                <w:rFonts w:ascii="Arial" w:hAnsi="Arial" w:cs="Arial"/>
                <w:color w:val="000000"/>
                <w:sz w:val="18"/>
                <w:szCs w:val="18"/>
              </w:rPr>
              <w:t>3.0M</w:t>
            </w:r>
          </w:p>
        </w:tc>
        <w:tc>
          <w:tcPr>
            <w:tcW w:w="1485" w:type="dxa"/>
            <w:vAlign w:val="bottom"/>
          </w:tcPr>
          <w:p w14:paraId="3B51932D" w14:textId="1A8A0FBD" w:rsidR="00110DFD" w:rsidRPr="00110DFD" w:rsidRDefault="00110DFD" w:rsidP="00110DF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-13.1%</w:t>
            </w:r>
          </w:p>
        </w:tc>
        <w:tc>
          <w:tcPr>
            <w:tcW w:w="1485" w:type="dxa"/>
            <w:tcBorders>
              <w:right w:val="single" w:sz="4" w:space="0" w:color="auto"/>
            </w:tcBorders>
            <w:vAlign w:val="bottom"/>
          </w:tcPr>
          <w:p w14:paraId="4387EEDA" w14:textId="1C7BDE39" w:rsidR="00110DFD" w:rsidRPr="00110DFD" w:rsidRDefault="00110DFD" w:rsidP="00110DF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-28.4%</w:t>
            </w:r>
          </w:p>
        </w:tc>
        <w:tc>
          <w:tcPr>
            <w:tcW w:w="1485" w:type="dxa"/>
            <w:gridSpan w:val="2"/>
            <w:tcBorders>
              <w:left w:val="single" w:sz="4" w:space="0" w:color="auto"/>
            </w:tcBorders>
            <w:vAlign w:val="bottom"/>
          </w:tcPr>
          <w:p w14:paraId="50E3024D" w14:textId="1EFBEEEC" w:rsidR="00110DFD" w:rsidRPr="00110DFD" w:rsidRDefault="00110DFD" w:rsidP="00110DF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$884</w:t>
            </w:r>
            <w:r>
              <w:rPr>
                <w:rFonts w:ascii="Arial" w:hAnsi="Arial" w:cs="Arial"/>
                <w:color w:val="000000"/>
                <w:sz w:val="18"/>
                <w:szCs w:val="18"/>
              </w:rPr>
              <w:t>.0M</w:t>
            </w:r>
          </w:p>
        </w:tc>
        <w:tc>
          <w:tcPr>
            <w:tcW w:w="1485" w:type="dxa"/>
            <w:vAlign w:val="bottom"/>
          </w:tcPr>
          <w:p w14:paraId="2FDC2D66" w14:textId="4C2EE00B" w:rsidR="00110DFD" w:rsidRPr="00110DFD" w:rsidRDefault="00110DFD" w:rsidP="00110DF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-13.4%</w:t>
            </w:r>
          </w:p>
        </w:tc>
        <w:tc>
          <w:tcPr>
            <w:tcW w:w="1395" w:type="dxa"/>
            <w:vAlign w:val="bottom"/>
          </w:tcPr>
          <w:p w14:paraId="2CC66B56" w14:textId="1A464D0A" w:rsidR="00110DFD" w:rsidRPr="00110DFD" w:rsidRDefault="00110DFD" w:rsidP="00110DF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-27.0%</w:t>
            </w:r>
          </w:p>
        </w:tc>
      </w:tr>
      <w:tr w:rsidR="00110DFD" w:rsidRPr="00F15260" w14:paraId="27E0DBE7" w14:textId="77777777" w:rsidTr="00937434">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1F0534E" w14:textId="77777777" w:rsidR="00110DFD" w:rsidRPr="00110DFD" w:rsidRDefault="00110DFD" w:rsidP="00110DFD">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Lobster</w:t>
            </w:r>
          </w:p>
        </w:tc>
        <w:tc>
          <w:tcPr>
            <w:tcW w:w="1305" w:type="dxa"/>
            <w:vAlign w:val="bottom"/>
          </w:tcPr>
          <w:p w14:paraId="7BB8827E" w14:textId="2C35F9CF" w:rsidR="00110DFD" w:rsidRPr="00110DFD" w:rsidRDefault="00110DFD"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$24</w:t>
            </w:r>
            <w:r>
              <w:rPr>
                <w:rFonts w:ascii="Arial" w:hAnsi="Arial" w:cs="Arial"/>
                <w:color w:val="000000"/>
                <w:sz w:val="18"/>
                <w:szCs w:val="18"/>
              </w:rPr>
              <w:t>.7M</w:t>
            </w:r>
          </w:p>
        </w:tc>
        <w:tc>
          <w:tcPr>
            <w:tcW w:w="1485" w:type="dxa"/>
            <w:vAlign w:val="bottom"/>
          </w:tcPr>
          <w:p w14:paraId="70730D97" w14:textId="10D8EF1D" w:rsidR="00110DFD" w:rsidRPr="00110DFD" w:rsidRDefault="00110DFD"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10DFD">
              <w:rPr>
                <w:rFonts w:ascii="Arial" w:hAnsi="Arial" w:cs="Arial"/>
                <w:color w:val="000000"/>
                <w:sz w:val="18"/>
                <w:szCs w:val="18"/>
              </w:rPr>
              <w:t>2.6%</w:t>
            </w:r>
          </w:p>
        </w:tc>
        <w:tc>
          <w:tcPr>
            <w:tcW w:w="1485" w:type="dxa"/>
            <w:tcBorders>
              <w:right w:val="single" w:sz="4" w:space="0" w:color="auto"/>
            </w:tcBorders>
            <w:vAlign w:val="bottom"/>
          </w:tcPr>
          <w:p w14:paraId="08DD4754" w14:textId="33367531" w:rsidR="00110DFD" w:rsidRPr="00110DFD" w:rsidRDefault="00110DFD"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10DFD">
              <w:rPr>
                <w:rFonts w:ascii="Arial" w:hAnsi="Arial" w:cs="Arial"/>
                <w:color w:val="000000"/>
                <w:sz w:val="18"/>
                <w:szCs w:val="18"/>
              </w:rPr>
              <w:t>8.8%</w:t>
            </w:r>
          </w:p>
        </w:tc>
        <w:tc>
          <w:tcPr>
            <w:tcW w:w="1485" w:type="dxa"/>
            <w:gridSpan w:val="2"/>
            <w:tcBorders>
              <w:left w:val="single" w:sz="4" w:space="0" w:color="auto"/>
            </w:tcBorders>
            <w:vAlign w:val="bottom"/>
          </w:tcPr>
          <w:p w14:paraId="2C062387" w14:textId="5693DB3A" w:rsidR="00110DFD" w:rsidRPr="00110DFD" w:rsidRDefault="00110DFD"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$390</w:t>
            </w:r>
            <w:r>
              <w:rPr>
                <w:rFonts w:ascii="Arial" w:hAnsi="Arial" w:cs="Arial"/>
                <w:color w:val="000000"/>
                <w:sz w:val="18"/>
                <w:szCs w:val="18"/>
              </w:rPr>
              <w:t>.5M</w:t>
            </w:r>
          </w:p>
        </w:tc>
        <w:tc>
          <w:tcPr>
            <w:tcW w:w="1485" w:type="dxa"/>
            <w:vAlign w:val="bottom"/>
          </w:tcPr>
          <w:p w14:paraId="028DCCDC" w14:textId="06C54175" w:rsidR="00110DFD" w:rsidRPr="00110DFD" w:rsidRDefault="00562ED9"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10DFD" w:rsidRPr="00110DFD">
              <w:rPr>
                <w:rFonts w:ascii="Arial" w:hAnsi="Arial" w:cs="Arial"/>
                <w:color w:val="000000"/>
                <w:sz w:val="18"/>
                <w:szCs w:val="18"/>
              </w:rPr>
              <w:t>0.1%</w:t>
            </w:r>
          </w:p>
        </w:tc>
        <w:tc>
          <w:tcPr>
            <w:tcW w:w="1395" w:type="dxa"/>
            <w:vAlign w:val="bottom"/>
          </w:tcPr>
          <w:p w14:paraId="14F8CD18" w14:textId="093B18CA" w:rsidR="00110DFD" w:rsidRPr="00110DFD" w:rsidRDefault="00110DFD"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-7.1%</w:t>
            </w:r>
          </w:p>
        </w:tc>
      </w:tr>
      <w:tr w:rsidR="00110DFD" w:rsidRPr="00F15260" w14:paraId="02286D77" w14:textId="77777777" w:rsidTr="0093743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4FE1C8FC" w14:textId="77777777" w:rsidR="00110DFD" w:rsidRPr="00110DFD" w:rsidRDefault="00110DFD" w:rsidP="00110DFD">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Tilapia</w:t>
            </w:r>
          </w:p>
        </w:tc>
        <w:tc>
          <w:tcPr>
            <w:tcW w:w="1305" w:type="dxa"/>
            <w:vAlign w:val="bottom"/>
          </w:tcPr>
          <w:p w14:paraId="23E83CEC" w14:textId="62408EDB" w:rsidR="00110DFD" w:rsidRPr="00110DFD" w:rsidRDefault="00110DFD" w:rsidP="00110DF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$20</w:t>
            </w:r>
            <w:r>
              <w:rPr>
                <w:rFonts w:ascii="Arial" w:hAnsi="Arial" w:cs="Arial"/>
                <w:color w:val="000000"/>
                <w:sz w:val="18"/>
                <w:szCs w:val="18"/>
              </w:rPr>
              <w:t>.4M</w:t>
            </w:r>
          </w:p>
        </w:tc>
        <w:tc>
          <w:tcPr>
            <w:tcW w:w="1485" w:type="dxa"/>
            <w:vAlign w:val="bottom"/>
          </w:tcPr>
          <w:p w14:paraId="1F75E741" w14:textId="6D59E4EE" w:rsidR="00110DFD" w:rsidRPr="00110DFD" w:rsidRDefault="00110DFD" w:rsidP="00110DF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10DFD">
              <w:rPr>
                <w:rFonts w:ascii="Arial" w:hAnsi="Arial" w:cs="Arial"/>
                <w:color w:val="000000"/>
                <w:sz w:val="18"/>
                <w:szCs w:val="18"/>
              </w:rPr>
              <w:t>14.7%</w:t>
            </w:r>
          </w:p>
        </w:tc>
        <w:tc>
          <w:tcPr>
            <w:tcW w:w="1485" w:type="dxa"/>
            <w:tcBorders>
              <w:right w:val="single" w:sz="4" w:space="0" w:color="auto"/>
            </w:tcBorders>
            <w:vAlign w:val="bottom"/>
          </w:tcPr>
          <w:p w14:paraId="093560F7" w14:textId="4B3A9498" w:rsidR="00110DFD" w:rsidRPr="00110DFD" w:rsidRDefault="00110DFD" w:rsidP="00110DF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10DFD">
              <w:rPr>
                <w:rFonts w:ascii="Arial" w:hAnsi="Arial" w:cs="Arial"/>
                <w:color w:val="000000"/>
                <w:sz w:val="18"/>
                <w:szCs w:val="18"/>
              </w:rPr>
              <w:t>11.1%</w:t>
            </w:r>
          </w:p>
        </w:tc>
        <w:tc>
          <w:tcPr>
            <w:tcW w:w="1485" w:type="dxa"/>
            <w:gridSpan w:val="2"/>
            <w:tcBorders>
              <w:left w:val="single" w:sz="4" w:space="0" w:color="auto"/>
            </w:tcBorders>
            <w:vAlign w:val="bottom"/>
          </w:tcPr>
          <w:p w14:paraId="5FD5879F" w14:textId="0B361FF1" w:rsidR="00110DFD" w:rsidRPr="00110DFD" w:rsidRDefault="00110DFD" w:rsidP="00110DF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$287</w:t>
            </w:r>
            <w:r>
              <w:rPr>
                <w:rFonts w:ascii="Arial" w:hAnsi="Arial" w:cs="Arial"/>
                <w:color w:val="000000"/>
                <w:sz w:val="18"/>
                <w:szCs w:val="18"/>
              </w:rPr>
              <w:t>.6M</w:t>
            </w:r>
          </w:p>
        </w:tc>
        <w:tc>
          <w:tcPr>
            <w:tcW w:w="1485" w:type="dxa"/>
            <w:vAlign w:val="bottom"/>
          </w:tcPr>
          <w:p w14:paraId="1DC0B8D4" w14:textId="586CCBA4" w:rsidR="00110DFD" w:rsidRPr="00110DFD" w:rsidRDefault="00562ED9" w:rsidP="00110DF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10DFD" w:rsidRPr="00110DFD">
              <w:rPr>
                <w:rFonts w:ascii="Arial" w:hAnsi="Arial" w:cs="Arial"/>
                <w:color w:val="000000"/>
                <w:sz w:val="18"/>
                <w:szCs w:val="18"/>
              </w:rPr>
              <w:t>12.7%</w:t>
            </w:r>
          </w:p>
        </w:tc>
        <w:tc>
          <w:tcPr>
            <w:tcW w:w="1395" w:type="dxa"/>
            <w:vAlign w:val="bottom"/>
          </w:tcPr>
          <w:p w14:paraId="057F5D3C" w14:textId="07F8A408" w:rsidR="00110DFD" w:rsidRPr="00110DFD" w:rsidRDefault="00562ED9" w:rsidP="00110DF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10DFD" w:rsidRPr="00110DFD">
              <w:rPr>
                <w:rFonts w:ascii="Arial" w:hAnsi="Arial" w:cs="Arial"/>
                <w:color w:val="000000"/>
                <w:sz w:val="18"/>
                <w:szCs w:val="18"/>
              </w:rPr>
              <w:t>16.3%</w:t>
            </w:r>
          </w:p>
        </w:tc>
      </w:tr>
      <w:tr w:rsidR="00110DFD" w:rsidRPr="00F15260" w14:paraId="4F6E97B4" w14:textId="77777777" w:rsidTr="00110BBD">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3370AB91" w14:textId="77777777" w:rsidR="00110DFD" w:rsidRPr="00110DFD" w:rsidRDefault="00110DFD" w:rsidP="00110DFD">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Cod</w:t>
            </w:r>
          </w:p>
        </w:tc>
        <w:tc>
          <w:tcPr>
            <w:tcW w:w="1305" w:type="dxa"/>
            <w:vAlign w:val="bottom"/>
          </w:tcPr>
          <w:p w14:paraId="0472B731" w14:textId="5C597675" w:rsidR="00110DFD" w:rsidRPr="00110DFD" w:rsidRDefault="00110DFD"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$17</w:t>
            </w:r>
            <w:r>
              <w:rPr>
                <w:rFonts w:ascii="Arial" w:hAnsi="Arial" w:cs="Arial"/>
                <w:color w:val="000000"/>
                <w:sz w:val="18"/>
                <w:szCs w:val="18"/>
              </w:rPr>
              <w:t>.9M</w:t>
            </w:r>
          </w:p>
        </w:tc>
        <w:tc>
          <w:tcPr>
            <w:tcW w:w="1485" w:type="dxa"/>
            <w:vAlign w:val="bottom"/>
          </w:tcPr>
          <w:p w14:paraId="3FEA7A4A" w14:textId="2CB05D8C" w:rsidR="00110DFD" w:rsidRPr="00110DFD" w:rsidRDefault="00110DFD"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10DFD">
              <w:rPr>
                <w:rFonts w:ascii="Arial" w:hAnsi="Arial" w:cs="Arial"/>
                <w:color w:val="000000"/>
                <w:sz w:val="18"/>
                <w:szCs w:val="18"/>
              </w:rPr>
              <w:t>4.6%</w:t>
            </w:r>
          </w:p>
        </w:tc>
        <w:tc>
          <w:tcPr>
            <w:tcW w:w="1485" w:type="dxa"/>
            <w:tcBorders>
              <w:right w:val="single" w:sz="4" w:space="0" w:color="auto"/>
            </w:tcBorders>
            <w:vAlign w:val="bottom"/>
          </w:tcPr>
          <w:p w14:paraId="21623829" w14:textId="435174AD" w:rsidR="00110DFD" w:rsidRPr="00110DFD" w:rsidRDefault="00110DFD"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-3.5%</w:t>
            </w:r>
          </w:p>
        </w:tc>
        <w:tc>
          <w:tcPr>
            <w:tcW w:w="1485" w:type="dxa"/>
            <w:gridSpan w:val="2"/>
            <w:tcBorders>
              <w:left w:val="single" w:sz="4" w:space="0" w:color="auto"/>
            </w:tcBorders>
            <w:vAlign w:val="bottom"/>
          </w:tcPr>
          <w:p w14:paraId="5011371D" w14:textId="210A5B5B" w:rsidR="00110DFD" w:rsidRPr="00110DFD" w:rsidRDefault="00110DFD"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$2</w:t>
            </w:r>
            <w:r w:rsidR="00562ED9">
              <w:rPr>
                <w:rFonts w:ascii="Arial" w:hAnsi="Arial" w:cs="Arial"/>
                <w:color w:val="000000"/>
                <w:sz w:val="18"/>
                <w:szCs w:val="18"/>
              </w:rPr>
              <w:t>64.5</w:t>
            </w:r>
            <w:r>
              <w:rPr>
                <w:rFonts w:ascii="Arial" w:hAnsi="Arial" w:cs="Arial"/>
                <w:color w:val="000000"/>
                <w:sz w:val="18"/>
                <w:szCs w:val="18"/>
              </w:rPr>
              <w:t>.0M</w:t>
            </w:r>
          </w:p>
        </w:tc>
        <w:tc>
          <w:tcPr>
            <w:tcW w:w="1485" w:type="dxa"/>
            <w:vAlign w:val="bottom"/>
          </w:tcPr>
          <w:p w14:paraId="3F7C328B" w14:textId="1F436394" w:rsidR="00110DFD" w:rsidRPr="00110DFD" w:rsidRDefault="00562ED9"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+2.6</w:t>
            </w:r>
            <w:r w:rsidR="00110DFD" w:rsidRPr="00110DFD">
              <w:rPr>
                <w:rFonts w:ascii="Arial" w:hAnsi="Arial" w:cs="Arial"/>
                <w:color w:val="000000"/>
                <w:sz w:val="18"/>
                <w:szCs w:val="18"/>
              </w:rPr>
              <w:t>%</w:t>
            </w:r>
          </w:p>
        </w:tc>
        <w:tc>
          <w:tcPr>
            <w:tcW w:w="1395" w:type="dxa"/>
            <w:vAlign w:val="bottom"/>
          </w:tcPr>
          <w:p w14:paraId="1AABE4A0" w14:textId="52083B42" w:rsidR="00110DFD" w:rsidRPr="00110DFD" w:rsidRDefault="00562ED9" w:rsidP="00110DF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-3.0</w:t>
            </w:r>
            <w:r w:rsidR="00110DFD" w:rsidRPr="00110DFD">
              <w:rPr>
                <w:rFonts w:ascii="Arial" w:hAnsi="Arial" w:cs="Arial"/>
                <w:color w:val="000000"/>
                <w:sz w:val="18"/>
                <w:szCs w:val="18"/>
              </w:rPr>
              <w:t>%</w:t>
            </w:r>
          </w:p>
        </w:tc>
      </w:tr>
      <w:tr w:rsidR="00562ED9" w:rsidRPr="00F15260" w14:paraId="35C02293" w14:textId="77777777" w:rsidTr="0093743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6EAB835E" w14:textId="77777777" w:rsidR="00562ED9" w:rsidRPr="00110DFD" w:rsidRDefault="00562ED9" w:rsidP="00562ED9">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Trout</w:t>
            </w:r>
          </w:p>
        </w:tc>
        <w:tc>
          <w:tcPr>
            <w:tcW w:w="1305" w:type="dxa"/>
            <w:vAlign w:val="bottom"/>
          </w:tcPr>
          <w:p w14:paraId="44DB92FA" w14:textId="0FEEBBED" w:rsidR="00562ED9" w:rsidRPr="00110DFD" w:rsidRDefault="00562ED9" w:rsidP="00562ED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110DFD">
              <w:rPr>
                <w:rFonts w:ascii="Arial" w:hAnsi="Arial" w:cs="Arial"/>
                <w:color w:val="000000"/>
                <w:sz w:val="18"/>
                <w:szCs w:val="18"/>
              </w:rPr>
              <w:t>$16</w:t>
            </w:r>
            <w:r>
              <w:rPr>
                <w:rFonts w:ascii="Arial" w:hAnsi="Arial" w:cs="Arial"/>
                <w:color w:val="000000"/>
                <w:sz w:val="18"/>
                <w:szCs w:val="18"/>
              </w:rPr>
              <w:t>.9M</w:t>
            </w:r>
          </w:p>
        </w:tc>
        <w:tc>
          <w:tcPr>
            <w:tcW w:w="1485" w:type="dxa"/>
            <w:vAlign w:val="bottom"/>
          </w:tcPr>
          <w:p w14:paraId="36A254F7" w14:textId="05018AAC" w:rsidR="00562ED9" w:rsidRPr="00110DFD" w:rsidRDefault="00562ED9" w:rsidP="00562ED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10DFD">
              <w:rPr>
                <w:rFonts w:ascii="Arial" w:hAnsi="Arial" w:cs="Arial"/>
                <w:color w:val="000000"/>
                <w:sz w:val="18"/>
                <w:szCs w:val="18"/>
              </w:rPr>
              <w:t>8.4%</w:t>
            </w:r>
          </w:p>
        </w:tc>
        <w:tc>
          <w:tcPr>
            <w:tcW w:w="1485" w:type="dxa"/>
            <w:tcBorders>
              <w:right w:val="single" w:sz="4" w:space="0" w:color="auto"/>
            </w:tcBorders>
            <w:vAlign w:val="bottom"/>
          </w:tcPr>
          <w:p w14:paraId="0CA260E6" w14:textId="2163631D" w:rsidR="00562ED9" w:rsidRPr="00110DFD" w:rsidRDefault="00562ED9" w:rsidP="00562ED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10DFD">
              <w:rPr>
                <w:rFonts w:ascii="Arial" w:hAnsi="Arial" w:cs="Arial"/>
                <w:color w:val="000000"/>
                <w:sz w:val="18"/>
                <w:szCs w:val="18"/>
              </w:rPr>
              <w:t>6.2%</w:t>
            </w:r>
          </w:p>
        </w:tc>
        <w:tc>
          <w:tcPr>
            <w:tcW w:w="1485" w:type="dxa"/>
            <w:gridSpan w:val="2"/>
            <w:tcBorders>
              <w:left w:val="single" w:sz="4" w:space="0" w:color="auto"/>
            </w:tcBorders>
            <w:vAlign w:val="bottom"/>
          </w:tcPr>
          <w:p w14:paraId="4C6C10E0" w14:textId="7D088211" w:rsidR="00562ED9" w:rsidRPr="00562ED9" w:rsidRDefault="00562ED9" w:rsidP="00562ED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62ED9">
              <w:rPr>
                <w:rFonts w:ascii="Arial" w:hAnsi="Arial" w:cs="Arial"/>
                <w:color w:val="000000"/>
                <w:sz w:val="18"/>
                <w:szCs w:val="18"/>
              </w:rPr>
              <w:t>$255</w:t>
            </w:r>
            <w:r>
              <w:rPr>
                <w:rFonts w:ascii="Arial" w:hAnsi="Arial" w:cs="Arial"/>
                <w:color w:val="000000"/>
                <w:sz w:val="18"/>
                <w:szCs w:val="18"/>
              </w:rPr>
              <w:t>.0M</w:t>
            </w:r>
          </w:p>
        </w:tc>
        <w:tc>
          <w:tcPr>
            <w:tcW w:w="1485" w:type="dxa"/>
            <w:vAlign w:val="bottom"/>
          </w:tcPr>
          <w:p w14:paraId="68D0397D" w14:textId="3CCB9869" w:rsidR="00562ED9" w:rsidRPr="00562ED9" w:rsidRDefault="00562ED9" w:rsidP="00562ED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562ED9">
              <w:rPr>
                <w:rFonts w:ascii="Arial" w:hAnsi="Arial" w:cs="Arial"/>
                <w:color w:val="000000"/>
                <w:sz w:val="18"/>
                <w:szCs w:val="18"/>
              </w:rPr>
              <w:t>19.6%</w:t>
            </w:r>
          </w:p>
        </w:tc>
        <w:tc>
          <w:tcPr>
            <w:tcW w:w="1395" w:type="dxa"/>
            <w:vAlign w:val="bottom"/>
          </w:tcPr>
          <w:p w14:paraId="173A61A1" w14:textId="316D32AF" w:rsidR="00562ED9" w:rsidRPr="00562ED9" w:rsidRDefault="00562ED9" w:rsidP="00562ED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562ED9">
              <w:rPr>
                <w:rFonts w:ascii="Arial" w:hAnsi="Arial" w:cs="Arial"/>
                <w:color w:val="000000"/>
                <w:sz w:val="18"/>
                <w:szCs w:val="18"/>
              </w:rPr>
              <w:t>24.5%</w:t>
            </w:r>
          </w:p>
        </w:tc>
      </w:tr>
      <w:tr w:rsidR="00562ED9" w:rsidRPr="00F15260" w14:paraId="653995BC" w14:textId="77777777" w:rsidTr="00937434">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4529AB4C" w14:textId="15832D35" w:rsidR="00562ED9" w:rsidRPr="00110DFD" w:rsidRDefault="00562ED9" w:rsidP="00562ED9">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Catfish</w:t>
            </w:r>
          </w:p>
        </w:tc>
        <w:tc>
          <w:tcPr>
            <w:tcW w:w="1305" w:type="dxa"/>
            <w:vAlign w:val="bottom"/>
          </w:tcPr>
          <w:p w14:paraId="6A9D6AFB" w14:textId="2EE4A2F6" w:rsidR="00562ED9" w:rsidRPr="00110DFD" w:rsidRDefault="00562ED9" w:rsidP="00562ED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$13</w:t>
            </w:r>
            <w:r>
              <w:rPr>
                <w:rFonts w:ascii="Arial" w:hAnsi="Arial" w:cs="Arial"/>
                <w:color w:val="000000"/>
                <w:sz w:val="18"/>
                <w:szCs w:val="18"/>
              </w:rPr>
              <w:t>.9M</w:t>
            </w:r>
          </w:p>
        </w:tc>
        <w:tc>
          <w:tcPr>
            <w:tcW w:w="1485" w:type="dxa"/>
            <w:vAlign w:val="bottom"/>
          </w:tcPr>
          <w:p w14:paraId="341E205C" w14:textId="08883D44" w:rsidR="00562ED9" w:rsidRPr="00110DFD" w:rsidRDefault="00562ED9" w:rsidP="00562ED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-5.1%</w:t>
            </w:r>
          </w:p>
        </w:tc>
        <w:tc>
          <w:tcPr>
            <w:tcW w:w="1485" w:type="dxa"/>
            <w:tcBorders>
              <w:right w:val="single" w:sz="4" w:space="0" w:color="auto"/>
            </w:tcBorders>
            <w:vAlign w:val="bottom"/>
          </w:tcPr>
          <w:p w14:paraId="02CC48F6" w14:textId="0794027F" w:rsidR="00562ED9" w:rsidRPr="00110DFD" w:rsidRDefault="00562ED9" w:rsidP="00562ED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10DFD">
              <w:rPr>
                <w:rFonts w:ascii="Arial" w:hAnsi="Arial" w:cs="Arial"/>
                <w:color w:val="000000"/>
                <w:sz w:val="18"/>
                <w:szCs w:val="18"/>
              </w:rPr>
              <w:t>-6.8%</w:t>
            </w:r>
          </w:p>
        </w:tc>
        <w:tc>
          <w:tcPr>
            <w:tcW w:w="1485" w:type="dxa"/>
            <w:gridSpan w:val="2"/>
            <w:tcBorders>
              <w:left w:val="single" w:sz="4" w:space="0" w:color="auto"/>
            </w:tcBorders>
            <w:vAlign w:val="bottom"/>
          </w:tcPr>
          <w:p w14:paraId="7217A92E" w14:textId="6934138C" w:rsidR="00562ED9" w:rsidRPr="00562ED9" w:rsidRDefault="00562ED9" w:rsidP="00562ED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62ED9">
              <w:rPr>
                <w:rFonts w:ascii="Arial" w:hAnsi="Arial" w:cs="Arial"/>
                <w:color w:val="000000"/>
                <w:sz w:val="18"/>
                <w:szCs w:val="18"/>
              </w:rPr>
              <w:t>$208</w:t>
            </w:r>
            <w:r>
              <w:rPr>
                <w:rFonts w:ascii="Arial" w:hAnsi="Arial" w:cs="Arial"/>
                <w:color w:val="000000"/>
                <w:sz w:val="18"/>
                <w:szCs w:val="18"/>
              </w:rPr>
              <w:t>.3M</w:t>
            </w:r>
          </w:p>
        </w:tc>
        <w:tc>
          <w:tcPr>
            <w:tcW w:w="1485" w:type="dxa"/>
            <w:vAlign w:val="bottom"/>
          </w:tcPr>
          <w:p w14:paraId="10C2432D" w14:textId="0C099EAF" w:rsidR="00562ED9" w:rsidRPr="00562ED9" w:rsidRDefault="00562ED9" w:rsidP="00562ED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62ED9">
              <w:rPr>
                <w:rFonts w:ascii="Arial" w:hAnsi="Arial" w:cs="Arial"/>
                <w:color w:val="000000"/>
                <w:sz w:val="18"/>
                <w:szCs w:val="18"/>
              </w:rPr>
              <w:t>-0.2%</w:t>
            </w:r>
          </w:p>
        </w:tc>
        <w:tc>
          <w:tcPr>
            <w:tcW w:w="1395" w:type="dxa"/>
            <w:vAlign w:val="bottom"/>
          </w:tcPr>
          <w:p w14:paraId="0797CA53" w14:textId="453E3A44" w:rsidR="00562ED9" w:rsidRPr="00562ED9" w:rsidRDefault="00562ED9" w:rsidP="00562ED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562ED9">
              <w:rPr>
                <w:rFonts w:ascii="Arial" w:hAnsi="Arial" w:cs="Arial"/>
                <w:color w:val="000000"/>
                <w:sz w:val="18"/>
                <w:szCs w:val="18"/>
              </w:rPr>
              <w:t>1.1%</w:t>
            </w:r>
          </w:p>
        </w:tc>
      </w:tr>
    </w:tbl>
    <w:p w14:paraId="42B2E0FF" w14:textId="50AFBC99" w:rsidR="006A32C9" w:rsidRPr="000A6F81" w:rsidRDefault="006A32C9" w:rsidP="00477CE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 xml:space="preserve">Source: </w:t>
      </w:r>
      <w:proofErr w:type="spellStart"/>
      <w:r w:rsidR="007A44BE" w:rsidRPr="000A6F81">
        <w:rPr>
          <w:rFonts w:ascii="Arial" w:hAnsi="Arial" w:cs="Arial"/>
          <w:color w:val="7F7F7F" w:themeColor="text1" w:themeTint="80"/>
          <w:sz w:val="16"/>
          <w:szCs w:val="16"/>
        </w:rPr>
        <w:t>Circana</w:t>
      </w:r>
      <w:proofErr w:type="spellEnd"/>
      <w:r w:rsidRPr="000A6F81">
        <w:rPr>
          <w:rFonts w:ascii="Arial" w:hAnsi="Arial" w:cs="Arial"/>
          <w:color w:val="7F7F7F" w:themeColor="text1" w:themeTint="80"/>
          <w:sz w:val="16"/>
          <w:szCs w:val="16"/>
        </w:rPr>
        <w:t xml:space="preserve">, Integrated Fresh Total US, </w:t>
      </w:r>
      <w:r w:rsidR="00534629" w:rsidRPr="000A6F81">
        <w:rPr>
          <w:rFonts w:ascii="Arial" w:hAnsi="Arial" w:cs="Arial"/>
          <w:color w:val="7F7F7F" w:themeColor="text1" w:themeTint="80"/>
          <w:sz w:val="16"/>
          <w:szCs w:val="16"/>
        </w:rPr>
        <w:t>MULO+</w:t>
      </w:r>
    </w:p>
    <w:p w14:paraId="1866DBA2" w14:textId="69C966FD" w:rsidR="005A1DA4" w:rsidRPr="000A6F81" w:rsidRDefault="005A1DA4" w:rsidP="00395944">
      <w:pPr>
        <w:pStyle w:val="NoSpacing"/>
        <w:tabs>
          <w:tab w:val="left" w:pos="2972"/>
        </w:tabs>
        <w:rPr>
          <w:rFonts w:ascii="Arial" w:hAnsi="Arial" w:cs="Arial"/>
          <w:b/>
          <w:color w:val="595959" w:themeColor="text1" w:themeTint="A6"/>
          <w:szCs w:val="20"/>
        </w:rPr>
      </w:pPr>
    </w:p>
    <w:p w14:paraId="4F492783" w14:textId="0DDEB14C" w:rsidR="00637163" w:rsidRPr="00C24355" w:rsidRDefault="00FC51A3" w:rsidP="00162F26">
      <w:pPr>
        <w:pStyle w:val="NoSpacing"/>
        <w:rPr>
          <w:rFonts w:ascii="Arial" w:hAnsi="Arial" w:cs="Arial"/>
          <w:b/>
          <w:color w:val="00857C"/>
          <w:sz w:val="24"/>
          <w:szCs w:val="20"/>
        </w:rPr>
      </w:pPr>
      <w:r w:rsidRPr="00C24355">
        <w:rPr>
          <w:rFonts w:ascii="Arial" w:hAnsi="Arial" w:cs="Arial"/>
          <w:b/>
          <w:color w:val="00857C"/>
          <w:sz w:val="24"/>
          <w:szCs w:val="20"/>
        </w:rPr>
        <w:t>Frozen Seafood Sales</w:t>
      </w:r>
      <w:r w:rsidR="00292DD8" w:rsidRPr="00C24355">
        <w:rPr>
          <w:rFonts w:ascii="Arial" w:hAnsi="Arial" w:cs="Arial"/>
          <w:b/>
          <w:color w:val="00857C"/>
          <w:sz w:val="24"/>
          <w:szCs w:val="20"/>
        </w:rPr>
        <w:t xml:space="preserve"> </w:t>
      </w:r>
    </w:p>
    <w:p w14:paraId="72DB9165" w14:textId="6B1C5DBC" w:rsidR="005A1DA4" w:rsidRDefault="002A6CBA" w:rsidP="00BA6703">
      <w:pPr>
        <w:pStyle w:val="NoSpacing"/>
        <w:ind w:right="11"/>
        <w:rPr>
          <w:rFonts w:ascii="Arial" w:hAnsi="Arial" w:cs="Arial"/>
          <w:color w:val="000000" w:themeColor="text1"/>
          <w:sz w:val="20"/>
          <w:szCs w:val="20"/>
        </w:rPr>
      </w:pPr>
      <w:r>
        <w:rPr>
          <w:rFonts w:ascii="Arial" w:hAnsi="Arial" w:cs="Arial"/>
          <w:color w:val="000000" w:themeColor="text1"/>
          <w:sz w:val="20"/>
          <w:szCs w:val="20"/>
        </w:rPr>
        <w:t xml:space="preserve">Frozen food sales patterns mirrored those of total food and beverages, with flat-to-down units and mild dollar gains. Meals under-performed as did seafood. </w:t>
      </w:r>
      <w:r w:rsidR="00EF4667">
        <w:rPr>
          <w:rFonts w:ascii="Arial" w:hAnsi="Arial" w:cs="Arial"/>
          <w:color w:val="000000" w:themeColor="text1"/>
          <w:sz w:val="20"/>
          <w:szCs w:val="20"/>
        </w:rPr>
        <w:t xml:space="preserve">November was the second month in which processed meat and poultry sales exceeded </w:t>
      </w:r>
      <w:r>
        <w:rPr>
          <w:rFonts w:ascii="Arial" w:hAnsi="Arial" w:cs="Arial"/>
          <w:color w:val="000000" w:themeColor="text1"/>
          <w:sz w:val="20"/>
          <w:szCs w:val="20"/>
        </w:rPr>
        <w:t xml:space="preserve">frozen seafood </w:t>
      </w:r>
      <w:r w:rsidR="00EF4667">
        <w:rPr>
          <w:rFonts w:ascii="Arial" w:hAnsi="Arial" w:cs="Arial"/>
          <w:color w:val="000000" w:themeColor="text1"/>
          <w:sz w:val="20"/>
          <w:szCs w:val="20"/>
        </w:rPr>
        <w:t>sales as the largest protein category</w:t>
      </w:r>
      <w:r>
        <w:rPr>
          <w:rFonts w:ascii="Arial" w:hAnsi="Arial" w:cs="Arial"/>
          <w:color w:val="000000" w:themeColor="text1"/>
          <w:sz w:val="20"/>
          <w:szCs w:val="20"/>
        </w:rPr>
        <w:t xml:space="preserve">. </w:t>
      </w:r>
    </w:p>
    <w:p w14:paraId="463D18FA" w14:textId="77777777" w:rsidR="00BA6703" w:rsidRPr="00545CB0" w:rsidRDefault="00BA6703" w:rsidP="00BA6703">
      <w:pPr>
        <w:pStyle w:val="NoSpacing"/>
        <w:ind w:right="11"/>
        <w:rPr>
          <w:sz w:val="10"/>
          <w:szCs w:val="10"/>
        </w:rPr>
      </w:pPr>
    </w:p>
    <w:tbl>
      <w:tblPr>
        <w:tblStyle w:val="ListTable1Light-Accent4"/>
        <w:tblW w:w="4781" w:type="pct"/>
        <w:tblLayout w:type="fixed"/>
        <w:tblLook w:val="04A0" w:firstRow="1" w:lastRow="0" w:firstColumn="1" w:lastColumn="0" w:noHBand="0" w:noVBand="1"/>
      </w:tblPr>
      <w:tblGrid>
        <w:gridCol w:w="2526"/>
        <w:gridCol w:w="1309"/>
        <w:gridCol w:w="1122"/>
        <w:gridCol w:w="1260"/>
        <w:gridCol w:w="1618"/>
        <w:gridCol w:w="96"/>
        <w:gridCol w:w="1075"/>
        <w:gridCol w:w="1159"/>
      </w:tblGrid>
      <w:tr w:rsidR="00C75C35" w:rsidRPr="00FF7600" w14:paraId="71FC3AC2" w14:textId="77777777" w:rsidTr="00052FAF">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42" w:type="pct"/>
            <w:tcBorders>
              <w:bottom w:val="none" w:sz="0" w:space="0" w:color="auto"/>
            </w:tcBorders>
            <w:shd w:val="clear" w:color="auto" w:fill="17365D" w:themeFill="text2" w:themeFillShade="BF"/>
          </w:tcPr>
          <w:p w14:paraId="15EBAC2D" w14:textId="621B42D3" w:rsidR="00C75C35" w:rsidRPr="00FF7600" w:rsidRDefault="00C75C35" w:rsidP="00C75C35">
            <w:pPr>
              <w:pStyle w:val="NoSpacing"/>
              <w:rPr>
                <w:rFonts w:ascii="Arial" w:hAnsi="Arial" w:cs="Arial"/>
                <w:color w:val="FFFFFF" w:themeColor="background1"/>
                <w:sz w:val="18"/>
                <w:szCs w:val="18"/>
              </w:rPr>
            </w:pPr>
          </w:p>
        </w:tc>
        <w:tc>
          <w:tcPr>
            <w:tcW w:w="1816" w:type="pct"/>
            <w:gridSpan w:val="3"/>
            <w:tcBorders>
              <w:bottom w:val="none" w:sz="0" w:space="0" w:color="auto"/>
            </w:tcBorders>
            <w:shd w:val="clear" w:color="auto" w:fill="17365D" w:themeFill="text2" w:themeFillShade="BF"/>
          </w:tcPr>
          <w:p w14:paraId="0D38EDAD" w14:textId="026E5DDE" w:rsidR="00C75C35" w:rsidRPr="00FF7600" w:rsidRDefault="00F60945" w:rsidP="00C75C3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November 2025</w:t>
            </w:r>
          </w:p>
        </w:tc>
        <w:tc>
          <w:tcPr>
            <w:tcW w:w="1942" w:type="pct"/>
            <w:gridSpan w:val="4"/>
            <w:tcBorders>
              <w:bottom w:val="none" w:sz="0" w:space="0" w:color="auto"/>
            </w:tcBorders>
            <w:shd w:val="clear" w:color="auto" w:fill="17365D" w:themeFill="text2" w:themeFillShade="BF"/>
          </w:tcPr>
          <w:p w14:paraId="5C02C995" w14:textId="5FA289CC" w:rsidR="00C75C35" w:rsidRPr="00FF7600" w:rsidRDefault="00C75C35" w:rsidP="00C75C3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202B8" w:rsidRPr="00FF7600" w14:paraId="4D2D3095" w14:textId="77777777" w:rsidTr="00052FA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42" w:type="pct"/>
            <w:shd w:val="clear" w:color="auto" w:fill="17365D" w:themeFill="text2" w:themeFillShade="BF"/>
          </w:tcPr>
          <w:p w14:paraId="74671850" w14:textId="77777777" w:rsidR="008202B8" w:rsidRPr="00FF7600" w:rsidRDefault="008202B8" w:rsidP="0035108F">
            <w:pPr>
              <w:pStyle w:val="NoSpacing"/>
              <w:rPr>
                <w:rFonts w:ascii="Arial" w:hAnsi="Arial" w:cs="Arial"/>
                <w:color w:val="FFFFFF" w:themeColor="background1"/>
                <w:sz w:val="18"/>
                <w:szCs w:val="18"/>
              </w:rPr>
            </w:pPr>
          </w:p>
        </w:tc>
        <w:tc>
          <w:tcPr>
            <w:tcW w:w="644" w:type="pct"/>
            <w:shd w:val="clear" w:color="auto" w:fill="17365D" w:themeFill="text2" w:themeFillShade="BF"/>
          </w:tcPr>
          <w:p w14:paraId="321CAE5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color w:val="FFFFFF" w:themeColor="background1"/>
                <w:sz w:val="18"/>
                <w:szCs w:val="18"/>
              </w:rPr>
              <w:t>Dollar sales</w:t>
            </w:r>
          </w:p>
        </w:tc>
        <w:tc>
          <w:tcPr>
            <w:tcW w:w="552" w:type="pct"/>
            <w:shd w:val="clear" w:color="auto" w:fill="17365D" w:themeFill="text2" w:themeFillShade="BF"/>
          </w:tcPr>
          <w:p w14:paraId="115A4F5A"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620" w:type="pct"/>
            <w:shd w:val="clear" w:color="auto" w:fill="17365D" w:themeFill="text2" w:themeFillShade="BF"/>
          </w:tcPr>
          <w:p w14:paraId="50A2E532"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c>
          <w:tcPr>
            <w:tcW w:w="843" w:type="pct"/>
            <w:gridSpan w:val="2"/>
            <w:shd w:val="clear" w:color="auto" w:fill="17365D" w:themeFill="text2" w:themeFillShade="BF"/>
          </w:tcPr>
          <w:p w14:paraId="143F7D2B"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 sales</w:t>
            </w:r>
          </w:p>
        </w:tc>
        <w:tc>
          <w:tcPr>
            <w:tcW w:w="529" w:type="pct"/>
            <w:shd w:val="clear" w:color="auto" w:fill="17365D" w:themeFill="text2" w:themeFillShade="BF"/>
          </w:tcPr>
          <w:p w14:paraId="62B19178"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570" w:type="pct"/>
            <w:shd w:val="clear" w:color="auto" w:fill="17365D" w:themeFill="text2" w:themeFillShade="BF"/>
          </w:tcPr>
          <w:p w14:paraId="512680E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r>
      <w:tr w:rsidR="002A6CBA" w:rsidRPr="00E84021" w14:paraId="66677E76" w14:textId="77777777" w:rsidTr="00052FAF">
        <w:trPr>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595959" w:themeFill="text1" w:themeFillTint="A6"/>
          </w:tcPr>
          <w:p w14:paraId="59ADA336" w14:textId="3DF8C1F2" w:rsidR="002A6CBA" w:rsidRPr="00E84021" w:rsidRDefault="002A6CBA" w:rsidP="002A6CBA">
            <w:pPr>
              <w:rPr>
                <w:rFonts w:ascii="Arial" w:eastAsia="Times New Roman" w:hAnsi="Arial" w:cs="Arial"/>
                <w:color w:val="FFFFFF" w:themeColor="background1"/>
                <w:sz w:val="18"/>
                <w:szCs w:val="18"/>
              </w:rPr>
            </w:pPr>
            <w:r w:rsidRPr="00E84021">
              <w:rPr>
                <w:rFonts w:ascii="Arial" w:eastAsia="Times New Roman" w:hAnsi="Arial" w:cs="Arial"/>
                <w:color w:val="FFFFFF" w:themeColor="background1"/>
                <w:sz w:val="18"/>
                <w:szCs w:val="18"/>
              </w:rPr>
              <w:t>Frozen food department</w:t>
            </w:r>
          </w:p>
        </w:tc>
        <w:tc>
          <w:tcPr>
            <w:tcW w:w="644" w:type="pct"/>
            <w:shd w:val="clear" w:color="auto" w:fill="595959" w:themeFill="text1" w:themeFillTint="A6"/>
          </w:tcPr>
          <w:p w14:paraId="755B3BB6" w14:textId="6137A226"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sidRPr="00E84021">
              <w:rPr>
                <w:rFonts w:ascii="Arial" w:hAnsi="Arial" w:cs="Arial"/>
                <w:b/>
                <w:bCs/>
                <w:color w:val="FFFFFF" w:themeColor="background1"/>
                <w:sz w:val="18"/>
                <w:szCs w:val="18"/>
              </w:rPr>
              <w:t>$</w:t>
            </w:r>
            <w:r w:rsidR="00137DAB">
              <w:rPr>
                <w:rFonts w:ascii="Arial" w:hAnsi="Arial" w:cs="Arial"/>
                <w:b/>
                <w:bCs/>
                <w:color w:val="FFFFFF" w:themeColor="background1"/>
                <w:sz w:val="18"/>
                <w:szCs w:val="18"/>
              </w:rPr>
              <w:t>6.5</w:t>
            </w:r>
            <w:r>
              <w:rPr>
                <w:rFonts w:ascii="Arial" w:hAnsi="Arial" w:cs="Arial"/>
                <w:b/>
                <w:bCs/>
                <w:color w:val="FFFFFF" w:themeColor="background1"/>
                <w:sz w:val="18"/>
                <w:szCs w:val="18"/>
              </w:rPr>
              <w:t>B</w:t>
            </w:r>
          </w:p>
        </w:tc>
        <w:tc>
          <w:tcPr>
            <w:tcW w:w="552" w:type="pct"/>
            <w:shd w:val="clear" w:color="auto" w:fill="595959" w:themeFill="text1" w:themeFillTint="A6"/>
          </w:tcPr>
          <w:p w14:paraId="480EA0F0" w14:textId="5FA325B7"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w:t>
            </w:r>
            <w:r w:rsidR="00137DAB">
              <w:rPr>
                <w:rFonts w:ascii="Arial" w:eastAsia="Times New Roman" w:hAnsi="Arial" w:cs="Arial"/>
                <w:b/>
                <w:bCs/>
                <w:color w:val="FFFFFF" w:themeColor="background1"/>
                <w:sz w:val="18"/>
                <w:szCs w:val="18"/>
              </w:rPr>
              <w:t>1.3</w:t>
            </w:r>
            <w:r w:rsidRPr="00E84021">
              <w:rPr>
                <w:rFonts w:ascii="Arial" w:eastAsia="Times New Roman" w:hAnsi="Arial" w:cs="Arial"/>
                <w:b/>
                <w:bCs/>
                <w:color w:val="FFFFFF" w:themeColor="background1"/>
                <w:sz w:val="18"/>
                <w:szCs w:val="18"/>
              </w:rPr>
              <w:t>%</w:t>
            </w:r>
          </w:p>
        </w:tc>
        <w:tc>
          <w:tcPr>
            <w:tcW w:w="620" w:type="pct"/>
            <w:tcBorders>
              <w:right w:val="single" w:sz="4" w:space="0" w:color="auto"/>
            </w:tcBorders>
            <w:shd w:val="clear" w:color="auto" w:fill="595959" w:themeFill="text1" w:themeFillTint="A6"/>
          </w:tcPr>
          <w:p w14:paraId="7440FFB6" w14:textId="17177B82"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-0.</w:t>
            </w:r>
            <w:r w:rsidR="00137DAB">
              <w:rPr>
                <w:rFonts w:ascii="Arial" w:eastAsia="Times New Roman" w:hAnsi="Arial" w:cs="Arial"/>
                <w:b/>
                <w:bCs/>
                <w:color w:val="FFFFFF" w:themeColor="background1"/>
                <w:sz w:val="18"/>
                <w:szCs w:val="18"/>
              </w:rPr>
              <w:t>3</w:t>
            </w:r>
            <w:r w:rsidRPr="00E84021">
              <w:rPr>
                <w:rFonts w:ascii="Arial" w:eastAsia="Times New Roman" w:hAnsi="Arial" w:cs="Arial"/>
                <w:b/>
                <w:bCs/>
                <w:color w:val="FFFFFF" w:themeColor="background1"/>
                <w:sz w:val="18"/>
                <w:szCs w:val="18"/>
              </w:rPr>
              <w:t>%</w:t>
            </w:r>
          </w:p>
        </w:tc>
        <w:tc>
          <w:tcPr>
            <w:tcW w:w="796" w:type="pct"/>
            <w:tcBorders>
              <w:left w:val="single" w:sz="4" w:space="0" w:color="auto"/>
            </w:tcBorders>
            <w:shd w:val="clear" w:color="auto" w:fill="595959" w:themeFill="text1" w:themeFillTint="A6"/>
          </w:tcPr>
          <w:p w14:paraId="7C9ED1DD" w14:textId="489583B9" w:rsidR="002A6CBA" w:rsidRPr="00E84021" w:rsidRDefault="002A6CBA" w:rsidP="002A6CBA">
            <w:pPr>
              <w:tabs>
                <w:tab w:val="center" w:pos="701"/>
                <w:tab w:val="right" w:pos="1402"/>
              </w:tabs>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ab/>
            </w:r>
            <w:r w:rsidRPr="00E84021">
              <w:rPr>
                <w:rFonts w:ascii="Arial" w:hAnsi="Arial" w:cs="Arial"/>
                <w:b/>
                <w:bCs/>
                <w:color w:val="FFFFFF" w:themeColor="background1"/>
                <w:sz w:val="18"/>
                <w:szCs w:val="18"/>
              </w:rPr>
              <w:tab/>
              <w:t>$</w:t>
            </w:r>
            <w:r w:rsidR="00EF4667">
              <w:rPr>
                <w:rFonts w:ascii="Arial" w:hAnsi="Arial" w:cs="Arial"/>
                <w:b/>
                <w:bCs/>
                <w:color w:val="FFFFFF" w:themeColor="background1"/>
                <w:sz w:val="18"/>
                <w:szCs w:val="18"/>
              </w:rPr>
              <w:t>87.5</w:t>
            </w:r>
            <w:r w:rsidRPr="00E84021">
              <w:rPr>
                <w:rFonts w:ascii="Arial" w:hAnsi="Arial" w:cs="Arial"/>
                <w:b/>
                <w:bCs/>
                <w:color w:val="FFFFFF" w:themeColor="background1"/>
                <w:sz w:val="18"/>
                <w:szCs w:val="18"/>
              </w:rPr>
              <w:t>B</w:t>
            </w:r>
          </w:p>
        </w:tc>
        <w:tc>
          <w:tcPr>
            <w:tcW w:w="576" w:type="pct"/>
            <w:gridSpan w:val="2"/>
            <w:shd w:val="clear" w:color="auto" w:fill="595959" w:themeFill="text1" w:themeFillTint="A6"/>
          </w:tcPr>
          <w:p w14:paraId="73E60916" w14:textId="046C4394"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w:t>
            </w:r>
            <w:r w:rsidR="00793EEB">
              <w:rPr>
                <w:rFonts w:ascii="Arial" w:hAnsi="Arial" w:cs="Arial"/>
                <w:b/>
                <w:bCs/>
                <w:color w:val="FFFFFF" w:themeColor="background1"/>
                <w:sz w:val="18"/>
                <w:szCs w:val="18"/>
              </w:rPr>
              <w:t>1.7</w:t>
            </w:r>
            <w:r>
              <w:rPr>
                <w:rFonts w:ascii="Arial" w:hAnsi="Arial" w:cs="Arial"/>
                <w:b/>
                <w:bCs/>
                <w:color w:val="FFFFFF" w:themeColor="background1"/>
                <w:sz w:val="18"/>
                <w:szCs w:val="18"/>
              </w:rPr>
              <w:t>%</w:t>
            </w:r>
          </w:p>
        </w:tc>
        <w:tc>
          <w:tcPr>
            <w:tcW w:w="570" w:type="pct"/>
            <w:shd w:val="clear" w:color="auto" w:fill="595959" w:themeFill="text1" w:themeFillTint="A6"/>
          </w:tcPr>
          <w:p w14:paraId="5AF7904B" w14:textId="0CC023FF"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eastAsia="Times New Roman" w:hAnsi="Arial" w:cs="Arial"/>
                <w:b/>
                <w:bCs/>
                <w:color w:val="FFFFFF" w:themeColor="background1"/>
                <w:sz w:val="18"/>
                <w:szCs w:val="18"/>
              </w:rPr>
              <w:t>+</w:t>
            </w:r>
            <w:r>
              <w:rPr>
                <w:rFonts w:ascii="Arial" w:eastAsia="Times New Roman" w:hAnsi="Arial" w:cs="Arial"/>
                <w:b/>
                <w:bCs/>
                <w:color w:val="FFFFFF" w:themeColor="background1"/>
                <w:sz w:val="18"/>
                <w:szCs w:val="18"/>
              </w:rPr>
              <w:t>0.</w:t>
            </w:r>
            <w:r w:rsidR="00EF4667">
              <w:rPr>
                <w:rFonts w:ascii="Arial" w:eastAsia="Times New Roman" w:hAnsi="Arial" w:cs="Arial"/>
                <w:b/>
                <w:bCs/>
                <w:color w:val="FFFFFF" w:themeColor="background1"/>
                <w:sz w:val="18"/>
                <w:szCs w:val="18"/>
              </w:rPr>
              <w:t>1</w:t>
            </w:r>
            <w:r w:rsidRPr="00E84021">
              <w:rPr>
                <w:rFonts w:ascii="Arial" w:eastAsia="Times New Roman" w:hAnsi="Arial" w:cs="Arial"/>
                <w:b/>
                <w:bCs/>
                <w:color w:val="FFFFFF" w:themeColor="background1"/>
                <w:sz w:val="18"/>
                <w:szCs w:val="18"/>
              </w:rPr>
              <w:t>%</w:t>
            </w:r>
          </w:p>
        </w:tc>
      </w:tr>
      <w:tr w:rsidR="002A6CBA" w:rsidRPr="0093290D" w14:paraId="45EE1A0E" w14:textId="77777777" w:rsidTr="00052FAF">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BFBFBF" w:themeFill="background1" w:themeFillShade="BF"/>
          </w:tcPr>
          <w:p w14:paraId="2B6B6051" w14:textId="6D044AB6" w:rsidR="002A6CBA" w:rsidRPr="0093290D" w:rsidRDefault="002A6CBA" w:rsidP="002A6CBA">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Meals </w:t>
            </w:r>
          </w:p>
        </w:tc>
        <w:tc>
          <w:tcPr>
            <w:tcW w:w="644" w:type="pct"/>
            <w:shd w:val="clear" w:color="auto" w:fill="BFBFBF" w:themeFill="background1" w:themeFillShade="BF"/>
          </w:tcPr>
          <w:p w14:paraId="515AC909" w14:textId="75A5BD9D"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F00DD3">
              <w:rPr>
                <w:rFonts w:ascii="Arial" w:eastAsia="Times New Roman" w:hAnsi="Arial" w:cs="Arial"/>
                <w:color w:val="000000" w:themeColor="text1"/>
                <w:sz w:val="18"/>
                <w:szCs w:val="18"/>
              </w:rPr>
              <w:t>$</w:t>
            </w:r>
            <w:r w:rsidR="00137DAB">
              <w:rPr>
                <w:rFonts w:ascii="Arial" w:eastAsia="Times New Roman" w:hAnsi="Arial" w:cs="Arial"/>
                <w:color w:val="000000" w:themeColor="text1"/>
                <w:sz w:val="18"/>
                <w:szCs w:val="18"/>
              </w:rPr>
              <w:t>2.1</w:t>
            </w:r>
            <w:r w:rsidRPr="00F00DD3">
              <w:rPr>
                <w:rFonts w:ascii="Arial" w:eastAsia="Times New Roman" w:hAnsi="Arial" w:cs="Arial"/>
                <w:color w:val="000000" w:themeColor="text1"/>
                <w:sz w:val="18"/>
                <w:szCs w:val="18"/>
              </w:rPr>
              <w:t>B</w:t>
            </w:r>
          </w:p>
        </w:tc>
        <w:tc>
          <w:tcPr>
            <w:tcW w:w="552" w:type="pct"/>
            <w:shd w:val="clear" w:color="auto" w:fill="BFBFBF" w:themeFill="background1" w:themeFillShade="BF"/>
          </w:tcPr>
          <w:p w14:paraId="22DF2E4C" w14:textId="5956BA52"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137DAB">
              <w:rPr>
                <w:rFonts w:ascii="Arial" w:hAnsi="Arial" w:cs="Arial"/>
                <w:color w:val="000000" w:themeColor="text1"/>
                <w:sz w:val="18"/>
                <w:szCs w:val="18"/>
              </w:rPr>
              <w:t>1.3</w:t>
            </w:r>
            <w:r w:rsidRPr="00D62C94">
              <w:rPr>
                <w:rFonts w:ascii="Arial" w:hAnsi="Arial" w:cs="Arial"/>
                <w:color w:val="000000" w:themeColor="text1"/>
                <w:sz w:val="18"/>
                <w:szCs w:val="18"/>
              </w:rPr>
              <w:t>%</w:t>
            </w:r>
          </w:p>
        </w:tc>
        <w:tc>
          <w:tcPr>
            <w:tcW w:w="620" w:type="pct"/>
            <w:tcBorders>
              <w:right w:val="single" w:sz="4" w:space="0" w:color="auto"/>
            </w:tcBorders>
            <w:shd w:val="clear" w:color="auto" w:fill="BFBFBF" w:themeFill="background1" w:themeFillShade="BF"/>
          </w:tcPr>
          <w:p w14:paraId="66FFCCC9" w14:textId="41B39F40"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CA7760">
              <w:rPr>
                <w:rFonts w:ascii="Arial" w:hAnsi="Arial" w:cs="Arial"/>
                <w:color w:val="000000" w:themeColor="text1"/>
                <w:sz w:val="18"/>
                <w:szCs w:val="18"/>
              </w:rPr>
              <w:t>-</w:t>
            </w:r>
            <w:r w:rsidR="00137DAB">
              <w:rPr>
                <w:rFonts w:ascii="Arial" w:hAnsi="Arial" w:cs="Arial"/>
                <w:color w:val="000000" w:themeColor="text1"/>
                <w:sz w:val="18"/>
                <w:szCs w:val="18"/>
              </w:rPr>
              <w:t>2.2</w:t>
            </w:r>
            <w:r w:rsidRPr="00CA7760">
              <w:rPr>
                <w:rFonts w:ascii="Arial" w:hAnsi="Arial" w:cs="Arial"/>
                <w:color w:val="000000" w:themeColor="text1"/>
                <w:sz w:val="18"/>
                <w:szCs w:val="18"/>
              </w:rPr>
              <w:t>%</w:t>
            </w:r>
          </w:p>
        </w:tc>
        <w:tc>
          <w:tcPr>
            <w:tcW w:w="796" w:type="pct"/>
            <w:tcBorders>
              <w:left w:val="single" w:sz="4" w:space="0" w:color="auto"/>
            </w:tcBorders>
            <w:shd w:val="clear" w:color="auto" w:fill="BFBFBF" w:themeFill="background1" w:themeFillShade="BF"/>
          </w:tcPr>
          <w:p w14:paraId="7E60172E" w14:textId="268A1F5F"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28.</w:t>
            </w:r>
            <w:r w:rsidR="00793EEB">
              <w:rPr>
                <w:rFonts w:ascii="Arial" w:eastAsia="Times New Roman" w:hAnsi="Arial" w:cs="Arial"/>
                <w:color w:val="000000" w:themeColor="text1"/>
                <w:sz w:val="18"/>
                <w:szCs w:val="18"/>
              </w:rPr>
              <w:t>2</w:t>
            </w:r>
            <w:r w:rsidRPr="0035100A">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47662996" w14:textId="5C01FA4C"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C4F02">
              <w:rPr>
                <w:rFonts w:ascii="Arial" w:hAnsi="Arial" w:cs="Arial"/>
                <w:color w:val="000000" w:themeColor="text1"/>
                <w:sz w:val="18"/>
                <w:szCs w:val="18"/>
              </w:rPr>
              <w:t>-</w:t>
            </w:r>
            <w:r w:rsidR="00793EEB">
              <w:rPr>
                <w:rFonts w:ascii="Arial" w:hAnsi="Arial" w:cs="Arial"/>
                <w:color w:val="000000" w:themeColor="text1"/>
                <w:sz w:val="18"/>
                <w:szCs w:val="18"/>
              </w:rPr>
              <w:t>1.1</w:t>
            </w:r>
            <w:r w:rsidRPr="00FC4F02">
              <w:rPr>
                <w:rFonts w:ascii="Arial" w:hAnsi="Arial" w:cs="Arial"/>
                <w:color w:val="000000" w:themeColor="text1"/>
                <w:sz w:val="18"/>
                <w:szCs w:val="18"/>
              </w:rPr>
              <w:t>%</w:t>
            </w:r>
          </w:p>
        </w:tc>
        <w:tc>
          <w:tcPr>
            <w:tcW w:w="570" w:type="pct"/>
            <w:shd w:val="clear" w:color="auto" w:fill="BFBFBF" w:themeFill="background1" w:themeFillShade="BF"/>
          </w:tcPr>
          <w:p w14:paraId="35562C4B" w14:textId="04664E11"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F64D5">
              <w:rPr>
                <w:rFonts w:ascii="Arial" w:hAnsi="Arial" w:cs="Arial"/>
                <w:color w:val="000000" w:themeColor="text1"/>
                <w:sz w:val="18"/>
                <w:szCs w:val="18"/>
              </w:rPr>
              <w:t>-</w:t>
            </w:r>
            <w:r w:rsidR="00793EEB">
              <w:rPr>
                <w:rFonts w:ascii="Arial" w:hAnsi="Arial" w:cs="Arial"/>
                <w:color w:val="000000" w:themeColor="text1"/>
                <w:sz w:val="18"/>
                <w:szCs w:val="18"/>
              </w:rPr>
              <w:t>2.</w:t>
            </w:r>
            <w:r w:rsidR="00EF4667">
              <w:rPr>
                <w:rFonts w:ascii="Arial" w:hAnsi="Arial" w:cs="Arial"/>
                <w:color w:val="000000" w:themeColor="text1"/>
                <w:sz w:val="18"/>
                <w:szCs w:val="18"/>
              </w:rPr>
              <w:t>0</w:t>
            </w:r>
            <w:r w:rsidRPr="003F64D5">
              <w:rPr>
                <w:rFonts w:ascii="Arial" w:hAnsi="Arial" w:cs="Arial"/>
                <w:color w:val="000000" w:themeColor="text1"/>
                <w:sz w:val="18"/>
                <w:szCs w:val="18"/>
              </w:rPr>
              <w:t>%</w:t>
            </w:r>
          </w:p>
        </w:tc>
      </w:tr>
      <w:tr w:rsidR="002A6CBA" w:rsidRPr="0093290D" w14:paraId="7E381991" w14:textId="77777777" w:rsidTr="002A6CBA">
        <w:trPr>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FFFFFF" w:themeFill="background1"/>
          </w:tcPr>
          <w:p w14:paraId="20CDA4B5" w14:textId="77777777" w:rsidR="002A6CBA" w:rsidRPr="0093290D" w:rsidRDefault="002A6CBA" w:rsidP="00DE619E">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Processed meat</w:t>
            </w:r>
            <w:r>
              <w:rPr>
                <w:rFonts w:ascii="Arial" w:eastAsia="Times New Roman" w:hAnsi="Arial" w:cs="Arial"/>
                <w:b w:val="0"/>
                <w:color w:val="000000" w:themeColor="text1"/>
                <w:sz w:val="18"/>
                <w:szCs w:val="18"/>
              </w:rPr>
              <w:t xml:space="preserve"> and poultry</w:t>
            </w:r>
          </w:p>
        </w:tc>
        <w:tc>
          <w:tcPr>
            <w:tcW w:w="644" w:type="pct"/>
            <w:shd w:val="clear" w:color="auto" w:fill="FFFFFF" w:themeFill="background1"/>
          </w:tcPr>
          <w:p w14:paraId="0C346D74" w14:textId="556A0951" w:rsidR="002A6CBA" w:rsidRPr="0093290D" w:rsidRDefault="002A6CBA" w:rsidP="00DE619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625B">
              <w:rPr>
                <w:rFonts w:ascii="Arial" w:eastAsia="Times New Roman" w:hAnsi="Arial" w:cs="Arial"/>
                <w:color w:val="000000" w:themeColor="text1"/>
                <w:sz w:val="18"/>
                <w:szCs w:val="18"/>
              </w:rPr>
              <w:t>$</w:t>
            </w:r>
            <w:r w:rsidR="00137DAB">
              <w:rPr>
                <w:rFonts w:ascii="Arial" w:eastAsia="Times New Roman" w:hAnsi="Arial" w:cs="Arial"/>
                <w:color w:val="000000" w:themeColor="text1"/>
                <w:sz w:val="18"/>
                <w:szCs w:val="18"/>
              </w:rPr>
              <w:t>631.5</w:t>
            </w:r>
            <w:r w:rsidRPr="0047625B">
              <w:rPr>
                <w:rFonts w:ascii="Arial" w:eastAsia="Times New Roman" w:hAnsi="Arial" w:cs="Arial"/>
                <w:color w:val="000000" w:themeColor="text1"/>
                <w:sz w:val="18"/>
                <w:szCs w:val="18"/>
              </w:rPr>
              <w:t>M</w:t>
            </w:r>
          </w:p>
        </w:tc>
        <w:tc>
          <w:tcPr>
            <w:tcW w:w="552" w:type="pct"/>
            <w:shd w:val="clear" w:color="auto" w:fill="FFFFFF" w:themeFill="background1"/>
          </w:tcPr>
          <w:p w14:paraId="5257A95F" w14:textId="762FECA6" w:rsidR="002A6CBA" w:rsidRPr="0093290D" w:rsidRDefault="002A6CBA" w:rsidP="00DE619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657E3">
              <w:rPr>
                <w:rFonts w:ascii="Arial" w:hAnsi="Arial" w:cs="Arial"/>
                <w:color w:val="000000" w:themeColor="text1"/>
                <w:sz w:val="18"/>
                <w:szCs w:val="18"/>
              </w:rPr>
              <w:t>+</w:t>
            </w:r>
            <w:r w:rsidR="00137DAB">
              <w:rPr>
                <w:rFonts w:ascii="Arial" w:hAnsi="Arial" w:cs="Arial"/>
                <w:color w:val="000000" w:themeColor="text1"/>
                <w:sz w:val="18"/>
                <w:szCs w:val="18"/>
              </w:rPr>
              <w:t>7.3</w:t>
            </w:r>
            <w:r w:rsidRPr="009657E3">
              <w:rPr>
                <w:rFonts w:ascii="Arial" w:hAnsi="Arial" w:cs="Arial"/>
                <w:color w:val="000000" w:themeColor="text1"/>
                <w:sz w:val="18"/>
                <w:szCs w:val="18"/>
              </w:rPr>
              <w:t>%</w:t>
            </w:r>
          </w:p>
        </w:tc>
        <w:tc>
          <w:tcPr>
            <w:tcW w:w="620" w:type="pct"/>
            <w:tcBorders>
              <w:right w:val="single" w:sz="4" w:space="0" w:color="auto"/>
            </w:tcBorders>
            <w:shd w:val="clear" w:color="auto" w:fill="FFFFFF" w:themeFill="background1"/>
          </w:tcPr>
          <w:p w14:paraId="08097E20" w14:textId="45F49D0F" w:rsidR="002A6CBA" w:rsidRPr="0093290D" w:rsidRDefault="002A6CBA" w:rsidP="00DE619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D11FD">
              <w:rPr>
                <w:rFonts w:ascii="Arial" w:hAnsi="Arial" w:cs="Arial"/>
                <w:color w:val="000000" w:themeColor="text1"/>
                <w:sz w:val="18"/>
                <w:szCs w:val="18"/>
              </w:rPr>
              <w:t>+</w:t>
            </w:r>
            <w:r w:rsidR="00137DAB">
              <w:rPr>
                <w:rFonts w:ascii="Arial" w:hAnsi="Arial" w:cs="Arial"/>
                <w:color w:val="000000" w:themeColor="text1"/>
                <w:sz w:val="18"/>
                <w:szCs w:val="18"/>
              </w:rPr>
              <w:t>5.0</w:t>
            </w:r>
            <w:r w:rsidRPr="003D11FD">
              <w:rPr>
                <w:rFonts w:ascii="Arial" w:hAnsi="Arial" w:cs="Arial"/>
                <w:color w:val="000000" w:themeColor="text1"/>
                <w:sz w:val="18"/>
                <w:szCs w:val="18"/>
              </w:rPr>
              <w:t>%</w:t>
            </w:r>
          </w:p>
        </w:tc>
        <w:tc>
          <w:tcPr>
            <w:tcW w:w="796" w:type="pct"/>
            <w:tcBorders>
              <w:left w:val="single" w:sz="4" w:space="0" w:color="auto"/>
            </w:tcBorders>
            <w:shd w:val="clear" w:color="auto" w:fill="FFFFFF" w:themeFill="background1"/>
          </w:tcPr>
          <w:p w14:paraId="6F385894" w14:textId="7F4E8813" w:rsidR="002A6CBA" w:rsidRPr="0093290D" w:rsidRDefault="002A6CBA" w:rsidP="00DE619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8.</w:t>
            </w:r>
            <w:r w:rsidR="00793EEB">
              <w:rPr>
                <w:rFonts w:ascii="Arial" w:eastAsia="Times New Roman" w:hAnsi="Arial" w:cs="Arial"/>
                <w:color w:val="000000" w:themeColor="text1"/>
                <w:sz w:val="18"/>
                <w:szCs w:val="18"/>
              </w:rPr>
              <w:t>5</w:t>
            </w:r>
            <w:r w:rsidRPr="0035100A">
              <w:rPr>
                <w:rFonts w:ascii="Arial" w:eastAsia="Times New Roman" w:hAnsi="Arial" w:cs="Arial"/>
                <w:color w:val="000000" w:themeColor="text1"/>
                <w:sz w:val="18"/>
                <w:szCs w:val="18"/>
              </w:rPr>
              <w:t>B</w:t>
            </w:r>
          </w:p>
        </w:tc>
        <w:tc>
          <w:tcPr>
            <w:tcW w:w="576" w:type="pct"/>
            <w:gridSpan w:val="2"/>
            <w:shd w:val="clear" w:color="auto" w:fill="FFFFFF" w:themeFill="background1"/>
          </w:tcPr>
          <w:p w14:paraId="5FAB267E" w14:textId="1C44694A" w:rsidR="002A6CBA" w:rsidRPr="0093290D" w:rsidRDefault="002A6CBA" w:rsidP="00DE619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E14CB">
              <w:rPr>
                <w:rFonts w:ascii="Arial" w:hAnsi="Arial" w:cs="Arial"/>
                <w:color w:val="000000" w:themeColor="text1"/>
                <w:sz w:val="18"/>
                <w:szCs w:val="18"/>
              </w:rPr>
              <w:t>+</w:t>
            </w:r>
            <w:r w:rsidR="00EF4667">
              <w:rPr>
                <w:rFonts w:ascii="Arial" w:hAnsi="Arial" w:cs="Arial"/>
                <w:color w:val="000000" w:themeColor="text1"/>
                <w:sz w:val="18"/>
                <w:szCs w:val="18"/>
              </w:rPr>
              <w:t>9.8</w:t>
            </w:r>
            <w:r w:rsidRPr="00DE14CB">
              <w:rPr>
                <w:rFonts w:ascii="Arial" w:hAnsi="Arial" w:cs="Arial"/>
                <w:color w:val="000000" w:themeColor="text1"/>
                <w:sz w:val="18"/>
                <w:szCs w:val="18"/>
              </w:rPr>
              <w:t>%</w:t>
            </w:r>
          </w:p>
        </w:tc>
        <w:tc>
          <w:tcPr>
            <w:tcW w:w="570" w:type="pct"/>
            <w:shd w:val="clear" w:color="auto" w:fill="FFFFFF" w:themeFill="background1"/>
          </w:tcPr>
          <w:p w14:paraId="43F08C03" w14:textId="4280E2A4" w:rsidR="002A6CBA" w:rsidRPr="0093290D" w:rsidRDefault="002A6CBA" w:rsidP="00DE619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E0922">
              <w:rPr>
                <w:rFonts w:ascii="Arial" w:hAnsi="Arial" w:cs="Arial"/>
                <w:color w:val="000000" w:themeColor="text1"/>
                <w:sz w:val="18"/>
                <w:szCs w:val="18"/>
              </w:rPr>
              <w:t>+</w:t>
            </w:r>
            <w:r w:rsidR="00EF4667">
              <w:rPr>
                <w:rFonts w:ascii="Arial" w:hAnsi="Arial" w:cs="Arial"/>
                <w:color w:val="000000" w:themeColor="text1"/>
                <w:sz w:val="18"/>
                <w:szCs w:val="18"/>
              </w:rPr>
              <w:t>7.6</w:t>
            </w:r>
            <w:r w:rsidRPr="008E0922">
              <w:rPr>
                <w:rFonts w:ascii="Arial" w:hAnsi="Arial" w:cs="Arial"/>
                <w:color w:val="000000" w:themeColor="text1"/>
                <w:sz w:val="18"/>
                <w:szCs w:val="18"/>
              </w:rPr>
              <w:t>%</w:t>
            </w:r>
          </w:p>
        </w:tc>
      </w:tr>
      <w:tr w:rsidR="002A6CBA" w:rsidRPr="0093290D" w14:paraId="33BAD936" w14:textId="77777777" w:rsidTr="002A6CB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BFBFBF" w:themeFill="background1" w:themeFillShade="BF"/>
          </w:tcPr>
          <w:p w14:paraId="6635218E" w14:textId="47402F1E" w:rsidR="002A6CBA" w:rsidRPr="0093290D" w:rsidRDefault="002A6CBA" w:rsidP="002A6CBA">
            <w:pPr>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Seafood</w:t>
            </w:r>
          </w:p>
        </w:tc>
        <w:tc>
          <w:tcPr>
            <w:tcW w:w="644" w:type="pct"/>
            <w:shd w:val="clear" w:color="auto" w:fill="BFBFBF" w:themeFill="background1" w:themeFillShade="BF"/>
          </w:tcPr>
          <w:p w14:paraId="1F552D30" w14:textId="27983A28"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7625B">
              <w:rPr>
                <w:rFonts w:ascii="Arial" w:eastAsia="Times New Roman" w:hAnsi="Arial" w:cs="Arial"/>
                <w:color w:val="000000" w:themeColor="text1"/>
                <w:sz w:val="18"/>
                <w:szCs w:val="18"/>
              </w:rPr>
              <w:t>$</w:t>
            </w:r>
            <w:r w:rsidR="00137DAB">
              <w:rPr>
                <w:rFonts w:ascii="Arial" w:eastAsia="Times New Roman" w:hAnsi="Arial" w:cs="Arial"/>
                <w:color w:val="000000" w:themeColor="text1"/>
                <w:sz w:val="18"/>
                <w:szCs w:val="18"/>
              </w:rPr>
              <w:t>568.</w:t>
            </w:r>
            <w:r w:rsidR="00EF4667">
              <w:rPr>
                <w:rFonts w:ascii="Arial" w:eastAsia="Times New Roman" w:hAnsi="Arial" w:cs="Arial"/>
                <w:color w:val="000000" w:themeColor="text1"/>
                <w:sz w:val="18"/>
                <w:szCs w:val="18"/>
              </w:rPr>
              <w:t>9</w:t>
            </w:r>
            <w:r w:rsidRPr="0047625B">
              <w:rPr>
                <w:rFonts w:ascii="Arial" w:eastAsia="Times New Roman" w:hAnsi="Arial" w:cs="Arial"/>
                <w:color w:val="000000" w:themeColor="text1"/>
                <w:sz w:val="18"/>
                <w:szCs w:val="18"/>
              </w:rPr>
              <w:t>M</w:t>
            </w:r>
          </w:p>
        </w:tc>
        <w:tc>
          <w:tcPr>
            <w:tcW w:w="552" w:type="pct"/>
            <w:shd w:val="clear" w:color="auto" w:fill="BFBFBF" w:themeFill="background1" w:themeFillShade="BF"/>
          </w:tcPr>
          <w:p w14:paraId="21B353CB" w14:textId="7A5B4A4F" w:rsidR="002A6CBA" w:rsidRPr="0093290D" w:rsidRDefault="00EF4667"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+0.1</w:t>
            </w:r>
            <w:r w:rsidR="002A6CBA" w:rsidRPr="00941A60">
              <w:rPr>
                <w:rFonts w:ascii="Arial" w:hAnsi="Arial" w:cs="Arial"/>
                <w:color w:val="000000" w:themeColor="text1"/>
                <w:sz w:val="18"/>
                <w:szCs w:val="18"/>
              </w:rPr>
              <w:t>%</w:t>
            </w:r>
          </w:p>
        </w:tc>
        <w:tc>
          <w:tcPr>
            <w:tcW w:w="620" w:type="pct"/>
            <w:tcBorders>
              <w:right w:val="single" w:sz="4" w:space="0" w:color="auto"/>
            </w:tcBorders>
            <w:shd w:val="clear" w:color="auto" w:fill="BFBFBF" w:themeFill="background1" w:themeFillShade="BF"/>
          </w:tcPr>
          <w:p w14:paraId="77A265EA" w14:textId="328E668A"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EF4667">
              <w:rPr>
                <w:rFonts w:ascii="Arial" w:hAnsi="Arial" w:cs="Arial"/>
                <w:color w:val="000000" w:themeColor="text1"/>
                <w:sz w:val="18"/>
                <w:szCs w:val="18"/>
              </w:rPr>
              <w:t>6.9</w:t>
            </w:r>
            <w:r w:rsidRPr="00941A60">
              <w:rPr>
                <w:rFonts w:ascii="Arial" w:hAnsi="Arial" w:cs="Arial"/>
                <w:color w:val="000000" w:themeColor="text1"/>
                <w:sz w:val="18"/>
                <w:szCs w:val="18"/>
              </w:rPr>
              <w:t>%</w:t>
            </w:r>
          </w:p>
        </w:tc>
        <w:tc>
          <w:tcPr>
            <w:tcW w:w="796" w:type="pct"/>
            <w:tcBorders>
              <w:left w:val="single" w:sz="4" w:space="0" w:color="auto"/>
            </w:tcBorders>
            <w:shd w:val="clear" w:color="auto" w:fill="BFBFBF" w:themeFill="background1" w:themeFillShade="BF"/>
          </w:tcPr>
          <w:p w14:paraId="2C2CB3AD" w14:textId="691C948F"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8.</w:t>
            </w:r>
            <w:r w:rsidR="00793EEB">
              <w:rPr>
                <w:rFonts w:ascii="Arial" w:eastAsia="Times New Roman" w:hAnsi="Arial" w:cs="Arial"/>
                <w:color w:val="000000" w:themeColor="text1"/>
                <w:sz w:val="18"/>
                <w:szCs w:val="18"/>
              </w:rPr>
              <w:t>3</w:t>
            </w:r>
            <w:r w:rsidRPr="0035100A">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49F5BC74" w14:textId="33876A5B"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14CB">
              <w:rPr>
                <w:rFonts w:ascii="Arial" w:hAnsi="Arial" w:cs="Arial"/>
                <w:color w:val="000000" w:themeColor="text1"/>
                <w:sz w:val="18"/>
                <w:szCs w:val="18"/>
              </w:rPr>
              <w:t>+</w:t>
            </w:r>
            <w:r w:rsidR="00793EEB">
              <w:rPr>
                <w:rFonts w:ascii="Arial" w:hAnsi="Arial" w:cs="Arial"/>
                <w:color w:val="000000" w:themeColor="text1"/>
                <w:sz w:val="18"/>
                <w:szCs w:val="18"/>
              </w:rPr>
              <w:t>1.0</w:t>
            </w:r>
            <w:r w:rsidRPr="00DE14CB">
              <w:rPr>
                <w:rFonts w:ascii="Arial" w:hAnsi="Arial" w:cs="Arial"/>
                <w:color w:val="000000" w:themeColor="text1"/>
                <w:sz w:val="18"/>
                <w:szCs w:val="18"/>
              </w:rPr>
              <w:t>%</w:t>
            </w:r>
          </w:p>
        </w:tc>
        <w:tc>
          <w:tcPr>
            <w:tcW w:w="570" w:type="pct"/>
            <w:shd w:val="clear" w:color="auto" w:fill="BFBFBF" w:themeFill="background1" w:themeFillShade="BF"/>
          </w:tcPr>
          <w:p w14:paraId="734B885A" w14:textId="1F26DB58" w:rsidR="002A6CBA" w:rsidRPr="0093290D" w:rsidRDefault="00793EEB"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EF4667">
              <w:rPr>
                <w:rFonts w:ascii="Arial" w:hAnsi="Arial" w:cs="Arial"/>
                <w:color w:val="000000" w:themeColor="text1"/>
                <w:sz w:val="18"/>
                <w:szCs w:val="18"/>
              </w:rPr>
              <w:t>2.0</w:t>
            </w:r>
            <w:r w:rsidR="002A6CBA" w:rsidRPr="008E0922">
              <w:rPr>
                <w:rFonts w:ascii="Arial" w:hAnsi="Arial" w:cs="Arial"/>
                <w:color w:val="000000" w:themeColor="text1"/>
                <w:sz w:val="18"/>
                <w:szCs w:val="18"/>
              </w:rPr>
              <w:t>%</w:t>
            </w:r>
          </w:p>
        </w:tc>
      </w:tr>
      <w:tr w:rsidR="002A6CBA" w:rsidRPr="0093290D" w14:paraId="58CCACA8" w14:textId="77777777" w:rsidTr="00052FAF">
        <w:trPr>
          <w:trHeight w:val="220"/>
        </w:trPr>
        <w:tc>
          <w:tcPr>
            <w:cnfStyle w:val="001000000000" w:firstRow="0" w:lastRow="0" w:firstColumn="1" w:lastColumn="0" w:oddVBand="0" w:evenVBand="0" w:oddHBand="0" w:evenHBand="0" w:firstRowFirstColumn="0" w:firstRowLastColumn="0" w:lastRowFirstColumn="0" w:lastRowLastColumn="0"/>
            <w:tcW w:w="1242" w:type="pct"/>
          </w:tcPr>
          <w:p w14:paraId="5537AC12" w14:textId="350D44F5" w:rsidR="002A6CBA" w:rsidRPr="0093290D" w:rsidRDefault="002A6CBA" w:rsidP="002A6CBA">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Meat/poultry </w:t>
            </w:r>
          </w:p>
        </w:tc>
        <w:tc>
          <w:tcPr>
            <w:tcW w:w="644" w:type="pct"/>
          </w:tcPr>
          <w:p w14:paraId="53D10B60" w14:textId="386327F8" w:rsidR="002A6CBA" w:rsidRPr="0093290D"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625B">
              <w:rPr>
                <w:rFonts w:ascii="Arial" w:eastAsia="Times New Roman" w:hAnsi="Arial" w:cs="Arial"/>
                <w:color w:val="000000" w:themeColor="text1"/>
                <w:sz w:val="18"/>
                <w:szCs w:val="18"/>
              </w:rPr>
              <w:t>$</w:t>
            </w:r>
            <w:r w:rsidR="00EF4667">
              <w:rPr>
                <w:rFonts w:ascii="Arial" w:eastAsia="Times New Roman" w:hAnsi="Arial" w:cs="Arial"/>
                <w:color w:val="000000" w:themeColor="text1"/>
                <w:sz w:val="18"/>
                <w:szCs w:val="18"/>
              </w:rPr>
              <w:t>481.0</w:t>
            </w:r>
            <w:r w:rsidRPr="0047625B">
              <w:rPr>
                <w:rFonts w:ascii="Arial" w:eastAsia="Times New Roman" w:hAnsi="Arial" w:cs="Arial"/>
                <w:color w:val="000000" w:themeColor="text1"/>
                <w:sz w:val="18"/>
                <w:szCs w:val="18"/>
              </w:rPr>
              <w:t>M</w:t>
            </w:r>
          </w:p>
        </w:tc>
        <w:tc>
          <w:tcPr>
            <w:tcW w:w="552" w:type="pct"/>
          </w:tcPr>
          <w:p w14:paraId="15AE4934" w14:textId="5037B7F7" w:rsidR="002A6CBA" w:rsidRPr="0093290D"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657E3">
              <w:rPr>
                <w:rFonts w:ascii="Arial" w:hAnsi="Arial" w:cs="Arial"/>
                <w:color w:val="000000" w:themeColor="text1"/>
                <w:sz w:val="18"/>
                <w:szCs w:val="18"/>
              </w:rPr>
              <w:t>+</w:t>
            </w:r>
            <w:r w:rsidR="00EF4667">
              <w:rPr>
                <w:rFonts w:ascii="Arial" w:hAnsi="Arial" w:cs="Arial"/>
                <w:color w:val="000000" w:themeColor="text1"/>
                <w:sz w:val="18"/>
                <w:szCs w:val="18"/>
              </w:rPr>
              <w:t>6.2</w:t>
            </w:r>
            <w:r w:rsidRPr="009657E3">
              <w:rPr>
                <w:rFonts w:ascii="Arial" w:hAnsi="Arial" w:cs="Arial"/>
                <w:color w:val="000000" w:themeColor="text1"/>
                <w:sz w:val="18"/>
                <w:szCs w:val="18"/>
              </w:rPr>
              <w:t>%</w:t>
            </w:r>
          </w:p>
        </w:tc>
        <w:tc>
          <w:tcPr>
            <w:tcW w:w="620" w:type="pct"/>
            <w:tcBorders>
              <w:right w:val="single" w:sz="4" w:space="0" w:color="auto"/>
            </w:tcBorders>
          </w:tcPr>
          <w:p w14:paraId="5A3B15DF" w14:textId="2B0F2B8C" w:rsidR="002A6CBA" w:rsidRPr="0093290D"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3D11FD">
              <w:rPr>
                <w:rFonts w:ascii="Arial" w:hAnsi="Arial" w:cs="Arial"/>
                <w:color w:val="000000" w:themeColor="text1"/>
                <w:sz w:val="18"/>
                <w:szCs w:val="18"/>
              </w:rPr>
              <w:t>+</w:t>
            </w:r>
            <w:r w:rsidR="00EF4667">
              <w:rPr>
                <w:rFonts w:ascii="Arial" w:hAnsi="Arial" w:cs="Arial"/>
                <w:color w:val="000000" w:themeColor="text1"/>
                <w:sz w:val="18"/>
                <w:szCs w:val="18"/>
              </w:rPr>
              <w:t>3.2</w:t>
            </w:r>
            <w:r w:rsidRPr="003D11FD">
              <w:rPr>
                <w:rFonts w:ascii="Arial" w:hAnsi="Arial" w:cs="Arial"/>
                <w:color w:val="000000" w:themeColor="text1"/>
                <w:sz w:val="18"/>
                <w:szCs w:val="18"/>
              </w:rPr>
              <w:t>%</w:t>
            </w:r>
          </w:p>
        </w:tc>
        <w:tc>
          <w:tcPr>
            <w:tcW w:w="796" w:type="pct"/>
            <w:tcBorders>
              <w:left w:val="single" w:sz="4" w:space="0" w:color="auto"/>
            </w:tcBorders>
          </w:tcPr>
          <w:p w14:paraId="27C2FEE1" w14:textId="1853E2B3" w:rsidR="002A6CBA" w:rsidRPr="0093290D"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6.</w:t>
            </w:r>
            <w:r w:rsidR="00793EEB">
              <w:rPr>
                <w:rFonts w:ascii="Arial" w:eastAsia="Times New Roman" w:hAnsi="Arial" w:cs="Arial"/>
                <w:color w:val="000000" w:themeColor="text1"/>
                <w:sz w:val="18"/>
                <w:szCs w:val="18"/>
              </w:rPr>
              <w:t>5</w:t>
            </w:r>
            <w:r w:rsidRPr="0035100A">
              <w:rPr>
                <w:rFonts w:ascii="Arial" w:eastAsia="Times New Roman" w:hAnsi="Arial" w:cs="Arial"/>
                <w:color w:val="000000" w:themeColor="text1"/>
                <w:sz w:val="18"/>
                <w:szCs w:val="18"/>
              </w:rPr>
              <w:t>B</w:t>
            </w:r>
          </w:p>
        </w:tc>
        <w:tc>
          <w:tcPr>
            <w:tcW w:w="576" w:type="pct"/>
            <w:gridSpan w:val="2"/>
          </w:tcPr>
          <w:p w14:paraId="7EB8C2AB" w14:textId="0760724B" w:rsidR="002A6CBA" w:rsidRPr="0093290D"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E14CB">
              <w:rPr>
                <w:rFonts w:ascii="Arial" w:hAnsi="Arial" w:cs="Arial"/>
                <w:color w:val="000000" w:themeColor="text1"/>
                <w:sz w:val="18"/>
                <w:szCs w:val="18"/>
              </w:rPr>
              <w:t>+</w:t>
            </w:r>
            <w:r w:rsidR="00793EEB">
              <w:rPr>
                <w:rFonts w:ascii="Arial" w:hAnsi="Arial" w:cs="Arial"/>
                <w:color w:val="000000" w:themeColor="text1"/>
                <w:sz w:val="18"/>
                <w:szCs w:val="18"/>
              </w:rPr>
              <w:t>4.</w:t>
            </w:r>
            <w:r w:rsidR="00EF4667">
              <w:rPr>
                <w:rFonts w:ascii="Arial" w:hAnsi="Arial" w:cs="Arial"/>
                <w:color w:val="000000" w:themeColor="text1"/>
                <w:sz w:val="18"/>
                <w:szCs w:val="18"/>
              </w:rPr>
              <w:t>4</w:t>
            </w:r>
            <w:r w:rsidRPr="00DE14CB">
              <w:rPr>
                <w:rFonts w:ascii="Arial" w:hAnsi="Arial" w:cs="Arial"/>
                <w:color w:val="000000" w:themeColor="text1"/>
                <w:sz w:val="18"/>
                <w:szCs w:val="18"/>
              </w:rPr>
              <w:t>%</w:t>
            </w:r>
          </w:p>
        </w:tc>
        <w:tc>
          <w:tcPr>
            <w:tcW w:w="570" w:type="pct"/>
          </w:tcPr>
          <w:p w14:paraId="11111E86" w14:textId="5F1E6E6B" w:rsidR="002A6CBA" w:rsidRPr="0093290D"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E0922">
              <w:rPr>
                <w:rFonts w:ascii="Arial" w:hAnsi="Arial" w:cs="Arial"/>
                <w:color w:val="000000" w:themeColor="text1"/>
                <w:sz w:val="18"/>
                <w:szCs w:val="18"/>
              </w:rPr>
              <w:t>+</w:t>
            </w:r>
            <w:r w:rsidR="00793EEB">
              <w:rPr>
                <w:rFonts w:ascii="Arial" w:hAnsi="Arial" w:cs="Arial"/>
                <w:color w:val="000000" w:themeColor="text1"/>
                <w:sz w:val="18"/>
                <w:szCs w:val="18"/>
              </w:rPr>
              <w:t>2.</w:t>
            </w:r>
            <w:r w:rsidR="00EF4667">
              <w:rPr>
                <w:rFonts w:ascii="Arial" w:hAnsi="Arial" w:cs="Arial"/>
                <w:color w:val="000000" w:themeColor="text1"/>
                <w:sz w:val="18"/>
                <w:szCs w:val="18"/>
              </w:rPr>
              <w:t>5</w:t>
            </w:r>
            <w:r w:rsidRPr="008E0922">
              <w:rPr>
                <w:rFonts w:ascii="Arial" w:hAnsi="Arial" w:cs="Arial"/>
                <w:color w:val="000000" w:themeColor="text1"/>
                <w:sz w:val="18"/>
                <w:szCs w:val="18"/>
              </w:rPr>
              <w:t>%</w:t>
            </w:r>
          </w:p>
        </w:tc>
      </w:tr>
    </w:tbl>
    <w:p w14:paraId="6046A26D" w14:textId="1C6870EB" w:rsidR="00386BC6" w:rsidRPr="000A6F81" w:rsidRDefault="00386BC6" w:rsidP="00386BC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 xml:space="preserve">Source: </w:t>
      </w:r>
      <w:proofErr w:type="spellStart"/>
      <w:r w:rsidRPr="000A6F81">
        <w:rPr>
          <w:rFonts w:ascii="Arial" w:hAnsi="Arial" w:cs="Arial"/>
          <w:color w:val="7F7F7F" w:themeColor="text1" w:themeTint="80"/>
          <w:sz w:val="16"/>
          <w:szCs w:val="16"/>
        </w:rPr>
        <w:t>Circana</w:t>
      </w:r>
      <w:proofErr w:type="spellEnd"/>
      <w:r w:rsidRPr="000A6F81">
        <w:rPr>
          <w:rFonts w:ascii="Arial" w:hAnsi="Arial" w:cs="Arial"/>
          <w:color w:val="7F7F7F" w:themeColor="text1" w:themeTint="80"/>
          <w:sz w:val="16"/>
          <w:szCs w:val="16"/>
        </w:rPr>
        <w:t>, Integrated Fresh, Total US, MULO+</w:t>
      </w:r>
    </w:p>
    <w:p w14:paraId="14C56967" w14:textId="77777777" w:rsidR="00CE56BF" w:rsidRDefault="00CE56BF" w:rsidP="004970F6">
      <w:pPr>
        <w:pStyle w:val="NoSpacing"/>
        <w:rPr>
          <w:rFonts w:ascii="Arial" w:hAnsi="Arial" w:cs="Arial"/>
          <w:color w:val="000000" w:themeColor="text1"/>
          <w:sz w:val="20"/>
          <w:szCs w:val="20"/>
        </w:rPr>
      </w:pPr>
    </w:p>
    <w:p w14:paraId="7278905D" w14:textId="04A9E907" w:rsidR="00F97C2B" w:rsidRDefault="00EF4667" w:rsidP="004970F6">
      <w:pPr>
        <w:pStyle w:val="NoSpacing"/>
        <w:rPr>
          <w:rFonts w:ascii="Arial" w:hAnsi="Arial" w:cs="Arial"/>
          <w:color w:val="000000" w:themeColor="text1"/>
          <w:sz w:val="20"/>
          <w:szCs w:val="20"/>
        </w:rPr>
      </w:pPr>
      <w:r>
        <w:rPr>
          <w:rFonts w:ascii="Arial" w:hAnsi="Arial" w:cs="Arial"/>
          <w:color w:val="000000" w:themeColor="text1"/>
          <w:sz w:val="20"/>
          <w:szCs w:val="20"/>
        </w:rPr>
        <w:t>Frozen finfish also had a far better performance than frozen shellfish, with gains in dollars and pounds. Frozen seafood alternative sales continued to decline year-over-year</w:t>
      </w:r>
      <w:r w:rsidR="009A4E52">
        <w:rPr>
          <w:rFonts w:ascii="Arial" w:hAnsi="Arial" w:cs="Arial"/>
          <w:color w:val="000000" w:themeColor="text1"/>
          <w:sz w:val="20"/>
          <w:szCs w:val="20"/>
        </w:rPr>
        <w:t xml:space="preserve">. </w:t>
      </w:r>
    </w:p>
    <w:p w14:paraId="5EC3E28C" w14:textId="77777777" w:rsidR="00BE7E59" w:rsidRDefault="00BE7E59" w:rsidP="004970F6">
      <w:pPr>
        <w:pStyle w:val="NoSpacing"/>
        <w:rPr>
          <w:rFonts w:ascii="Arial" w:hAnsi="Arial" w:cs="Arial"/>
          <w:color w:val="7F7F7F" w:themeColor="text1" w:themeTint="80"/>
          <w:sz w:val="16"/>
          <w:szCs w:val="14"/>
        </w:rPr>
      </w:pPr>
    </w:p>
    <w:tbl>
      <w:tblPr>
        <w:tblStyle w:val="LightShading-Accent5"/>
        <w:tblW w:w="10465" w:type="dxa"/>
        <w:tblBorders>
          <w:top w:val="none" w:sz="0" w:space="0" w:color="auto"/>
          <w:bottom w:val="none" w:sz="0" w:space="0" w:color="auto"/>
        </w:tblBorders>
        <w:tblLayout w:type="fixed"/>
        <w:tblLook w:val="04A0" w:firstRow="1" w:lastRow="0" w:firstColumn="1" w:lastColumn="0" w:noHBand="0" w:noVBand="1"/>
      </w:tblPr>
      <w:tblGrid>
        <w:gridCol w:w="1322"/>
        <w:gridCol w:w="116"/>
        <w:gridCol w:w="740"/>
        <w:gridCol w:w="731"/>
        <w:gridCol w:w="732"/>
        <w:gridCol w:w="732"/>
        <w:gridCol w:w="740"/>
        <w:gridCol w:w="886"/>
        <w:gridCol w:w="886"/>
        <w:gridCol w:w="831"/>
        <w:gridCol w:w="831"/>
        <w:gridCol w:w="886"/>
        <w:gridCol w:w="1032"/>
      </w:tblGrid>
      <w:tr w:rsidR="00052FAF" w:rsidRPr="00124BCF" w14:paraId="045CB233" w14:textId="77777777" w:rsidTr="00793EEB">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322" w:type="dxa"/>
            <w:tcBorders>
              <w:top w:val="none" w:sz="0" w:space="0" w:color="auto"/>
              <w:bottom w:val="none" w:sz="0" w:space="0" w:color="auto"/>
            </w:tcBorders>
            <w:shd w:val="clear" w:color="auto" w:fill="17365D" w:themeFill="text2" w:themeFillShade="BF"/>
          </w:tcPr>
          <w:p w14:paraId="382655BC" w14:textId="77777777" w:rsidR="00052FAF" w:rsidRPr="00545CB0" w:rsidRDefault="00052FAF" w:rsidP="00CC0A0D">
            <w:pPr>
              <w:pStyle w:val="NoSpacing"/>
              <w:rPr>
                <w:rFonts w:ascii="Arial" w:hAnsi="Arial" w:cs="Arial"/>
                <w:color w:val="FFFFFF" w:themeColor="background1"/>
                <w:sz w:val="18"/>
                <w:szCs w:val="18"/>
              </w:rPr>
            </w:pPr>
            <w:r w:rsidRPr="00545CB0">
              <w:rPr>
                <w:rFonts w:ascii="Arial" w:hAnsi="Arial" w:cs="Arial"/>
                <w:color w:val="FFFFFF" w:themeColor="background1"/>
                <w:sz w:val="18"/>
                <w:szCs w:val="18"/>
              </w:rPr>
              <w:t>Dollar sales</w:t>
            </w:r>
          </w:p>
        </w:tc>
        <w:tc>
          <w:tcPr>
            <w:tcW w:w="856" w:type="dxa"/>
            <w:gridSpan w:val="2"/>
            <w:tcBorders>
              <w:top w:val="none" w:sz="0" w:space="0" w:color="auto"/>
              <w:bottom w:val="none" w:sz="0" w:space="0" w:color="auto"/>
            </w:tcBorders>
            <w:shd w:val="clear" w:color="auto" w:fill="17365D" w:themeFill="text2" w:themeFillShade="BF"/>
            <w:vAlign w:val="center"/>
          </w:tcPr>
          <w:p w14:paraId="31B3EF87" w14:textId="77777777" w:rsidR="00052FAF" w:rsidRPr="00545CB0" w:rsidRDefault="00052FAF" w:rsidP="00CC0A0D">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2020</w:t>
            </w:r>
          </w:p>
        </w:tc>
        <w:tc>
          <w:tcPr>
            <w:tcW w:w="731" w:type="dxa"/>
            <w:tcBorders>
              <w:top w:val="none" w:sz="0" w:space="0" w:color="auto"/>
              <w:bottom w:val="none" w:sz="0" w:space="0" w:color="auto"/>
            </w:tcBorders>
            <w:shd w:val="clear" w:color="auto" w:fill="17365D" w:themeFill="text2" w:themeFillShade="BF"/>
            <w:vAlign w:val="center"/>
          </w:tcPr>
          <w:p w14:paraId="5EF8ECE7" w14:textId="77777777" w:rsidR="00052FAF" w:rsidRPr="00545CB0" w:rsidRDefault="00052FAF"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2021</w:t>
            </w:r>
          </w:p>
        </w:tc>
        <w:tc>
          <w:tcPr>
            <w:tcW w:w="732" w:type="dxa"/>
            <w:tcBorders>
              <w:top w:val="none" w:sz="0" w:space="0" w:color="auto"/>
              <w:bottom w:val="none" w:sz="0" w:space="0" w:color="auto"/>
            </w:tcBorders>
            <w:shd w:val="clear" w:color="auto" w:fill="17365D" w:themeFill="text2" w:themeFillShade="BF"/>
            <w:vAlign w:val="center"/>
          </w:tcPr>
          <w:p w14:paraId="0EA5321D" w14:textId="77777777" w:rsidR="00052FAF" w:rsidRPr="00545CB0" w:rsidRDefault="00052FAF"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2022</w:t>
            </w:r>
          </w:p>
        </w:tc>
        <w:tc>
          <w:tcPr>
            <w:tcW w:w="732" w:type="dxa"/>
            <w:tcBorders>
              <w:top w:val="none" w:sz="0" w:space="0" w:color="auto"/>
              <w:bottom w:val="none" w:sz="0" w:space="0" w:color="auto"/>
            </w:tcBorders>
            <w:shd w:val="clear" w:color="auto" w:fill="17365D" w:themeFill="text2" w:themeFillShade="BF"/>
            <w:vAlign w:val="center"/>
          </w:tcPr>
          <w:p w14:paraId="72802DFE" w14:textId="77777777" w:rsidR="00052FAF" w:rsidRPr="00545CB0" w:rsidRDefault="00052FAF"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2023</w:t>
            </w:r>
          </w:p>
        </w:tc>
        <w:tc>
          <w:tcPr>
            <w:tcW w:w="740" w:type="dxa"/>
            <w:tcBorders>
              <w:top w:val="none" w:sz="0" w:space="0" w:color="auto"/>
              <w:bottom w:val="none" w:sz="0" w:space="0" w:color="auto"/>
            </w:tcBorders>
            <w:shd w:val="clear" w:color="auto" w:fill="17365D" w:themeFill="text2" w:themeFillShade="BF"/>
            <w:vAlign w:val="center"/>
          </w:tcPr>
          <w:p w14:paraId="3A71509A" w14:textId="77777777" w:rsidR="00052FAF" w:rsidRPr="00545CB0" w:rsidRDefault="00052FAF"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2024</w:t>
            </w:r>
          </w:p>
        </w:tc>
        <w:tc>
          <w:tcPr>
            <w:tcW w:w="886" w:type="dxa"/>
            <w:tcBorders>
              <w:top w:val="none" w:sz="0" w:space="0" w:color="auto"/>
              <w:bottom w:val="none" w:sz="0" w:space="0" w:color="auto"/>
            </w:tcBorders>
            <w:shd w:val="clear" w:color="auto" w:fill="17365D" w:themeFill="text2" w:themeFillShade="BF"/>
            <w:vAlign w:val="center"/>
          </w:tcPr>
          <w:p w14:paraId="63A8018E" w14:textId="055EE052" w:rsidR="00052FAF" w:rsidRPr="00545CB0" w:rsidRDefault="00052FAF"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Q1 25</w:t>
            </w:r>
          </w:p>
        </w:tc>
        <w:tc>
          <w:tcPr>
            <w:tcW w:w="886" w:type="dxa"/>
            <w:tcBorders>
              <w:top w:val="none" w:sz="0" w:space="0" w:color="auto"/>
              <w:bottom w:val="none" w:sz="0" w:space="0" w:color="auto"/>
            </w:tcBorders>
            <w:shd w:val="clear" w:color="auto" w:fill="17365D" w:themeFill="text2" w:themeFillShade="BF"/>
            <w:vAlign w:val="center"/>
          </w:tcPr>
          <w:p w14:paraId="3F5082FF" w14:textId="25A27506" w:rsidR="00052FAF" w:rsidRPr="00545CB0" w:rsidRDefault="00052FAF"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Q</w:t>
            </w:r>
            <w:r>
              <w:rPr>
                <w:rFonts w:ascii="Arial" w:hAnsi="Arial" w:cs="Arial"/>
                <w:bCs w:val="0"/>
                <w:color w:val="FFFFFF" w:themeColor="background1"/>
                <w:sz w:val="18"/>
                <w:szCs w:val="18"/>
              </w:rPr>
              <w:t>2</w:t>
            </w:r>
            <w:r w:rsidRPr="00545CB0">
              <w:rPr>
                <w:rFonts w:ascii="Arial" w:hAnsi="Arial" w:cs="Arial"/>
                <w:bCs w:val="0"/>
                <w:color w:val="FFFFFF" w:themeColor="background1"/>
                <w:sz w:val="18"/>
                <w:szCs w:val="18"/>
              </w:rPr>
              <w:t xml:space="preserve"> 25</w:t>
            </w:r>
          </w:p>
        </w:tc>
        <w:tc>
          <w:tcPr>
            <w:tcW w:w="831" w:type="dxa"/>
            <w:tcBorders>
              <w:top w:val="none" w:sz="0" w:space="0" w:color="auto"/>
              <w:bottom w:val="none" w:sz="0" w:space="0" w:color="auto"/>
            </w:tcBorders>
            <w:shd w:val="clear" w:color="auto" w:fill="17365D" w:themeFill="text2" w:themeFillShade="BF"/>
            <w:vAlign w:val="center"/>
          </w:tcPr>
          <w:p w14:paraId="1447142C" w14:textId="55BF802D" w:rsidR="00052FAF" w:rsidRDefault="00052FAF" w:rsidP="00052FAF">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Cs w:val="0"/>
                <w:color w:val="FFFFFF" w:themeColor="background1"/>
                <w:sz w:val="18"/>
                <w:szCs w:val="18"/>
              </w:rPr>
              <w:t>Q3 25</w:t>
            </w:r>
          </w:p>
        </w:tc>
        <w:tc>
          <w:tcPr>
            <w:tcW w:w="831" w:type="dxa"/>
            <w:tcBorders>
              <w:top w:val="none" w:sz="0" w:space="0" w:color="auto"/>
              <w:bottom w:val="none" w:sz="0" w:space="0" w:color="auto"/>
            </w:tcBorders>
            <w:shd w:val="clear" w:color="auto" w:fill="17365D" w:themeFill="text2" w:themeFillShade="BF"/>
            <w:vAlign w:val="center"/>
          </w:tcPr>
          <w:p w14:paraId="0EBE4562" w14:textId="05880C3B" w:rsidR="00052FAF" w:rsidRPr="00545CB0" w:rsidRDefault="00EF4667"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Cs w:val="0"/>
                <w:color w:val="FFFFFF" w:themeColor="background1"/>
                <w:sz w:val="18"/>
                <w:szCs w:val="18"/>
              </w:rPr>
              <w:t>Nov</w:t>
            </w:r>
            <w:r w:rsidR="00C75C35">
              <w:rPr>
                <w:rFonts w:ascii="Arial" w:hAnsi="Arial" w:cs="Arial"/>
                <w:bCs w:val="0"/>
                <w:color w:val="FFFFFF" w:themeColor="background1"/>
                <w:sz w:val="18"/>
                <w:szCs w:val="18"/>
              </w:rPr>
              <w:t xml:space="preserve"> ‘</w:t>
            </w:r>
            <w:r w:rsidR="00052FAF" w:rsidRPr="00545CB0">
              <w:rPr>
                <w:rFonts w:ascii="Arial" w:hAnsi="Arial" w:cs="Arial"/>
                <w:bCs w:val="0"/>
                <w:color w:val="FFFFFF" w:themeColor="background1"/>
                <w:sz w:val="18"/>
                <w:szCs w:val="18"/>
              </w:rPr>
              <w:t>25</w:t>
            </w:r>
          </w:p>
        </w:tc>
        <w:tc>
          <w:tcPr>
            <w:tcW w:w="886" w:type="dxa"/>
            <w:tcBorders>
              <w:top w:val="none" w:sz="0" w:space="0" w:color="auto"/>
              <w:bottom w:val="none" w:sz="0" w:space="0" w:color="auto"/>
            </w:tcBorders>
            <w:shd w:val="clear" w:color="auto" w:fill="17365D" w:themeFill="text2" w:themeFillShade="BF"/>
            <w:vAlign w:val="center"/>
          </w:tcPr>
          <w:p w14:paraId="347884CA" w14:textId="77777777" w:rsidR="00052FAF" w:rsidRPr="00545CB0" w:rsidRDefault="00052FAF"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 xml:space="preserve">$ </w:t>
            </w:r>
            <w:r w:rsidRPr="00545CB0">
              <w:rPr>
                <w:rFonts w:ascii="Arial" w:hAnsi="Arial" w:cs="Arial"/>
                <w:bCs w:val="0"/>
                <w:color w:val="FFFFFF" w:themeColor="background1"/>
                <w:sz w:val="18"/>
                <w:szCs w:val="18"/>
              </w:rPr>
              <w:br/>
              <w:t>vs YA</w:t>
            </w:r>
          </w:p>
        </w:tc>
        <w:tc>
          <w:tcPr>
            <w:tcW w:w="1032" w:type="dxa"/>
            <w:tcBorders>
              <w:top w:val="none" w:sz="0" w:space="0" w:color="auto"/>
              <w:bottom w:val="none" w:sz="0" w:space="0" w:color="auto"/>
            </w:tcBorders>
            <w:shd w:val="clear" w:color="auto" w:fill="17365D" w:themeFill="text2" w:themeFillShade="BF"/>
            <w:vAlign w:val="center"/>
          </w:tcPr>
          <w:p w14:paraId="0E8AF81A" w14:textId="77777777" w:rsidR="00052FAF" w:rsidRPr="00545CB0" w:rsidRDefault="00052FAF"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 xml:space="preserve">Pounds </w:t>
            </w:r>
            <w:r w:rsidRPr="00545CB0">
              <w:rPr>
                <w:rFonts w:ascii="Arial" w:hAnsi="Arial" w:cs="Arial"/>
                <w:bCs w:val="0"/>
                <w:color w:val="FFFFFF" w:themeColor="background1"/>
                <w:sz w:val="18"/>
                <w:szCs w:val="18"/>
              </w:rPr>
              <w:br/>
              <w:t>vs YA</w:t>
            </w:r>
          </w:p>
        </w:tc>
      </w:tr>
      <w:tr w:rsidR="00052FAF" w:rsidRPr="000562A3" w14:paraId="4371B11D" w14:textId="77777777" w:rsidTr="00793EEB">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438" w:type="dxa"/>
            <w:gridSpan w:val="2"/>
            <w:shd w:val="clear" w:color="auto" w:fill="595959" w:themeFill="text1" w:themeFillTint="A6"/>
            <w:vAlign w:val="center"/>
          </w:tcPr>
          <w:p w14:paraId="732CFD34" w14:textId="0F89DF46" w:rsidR="00052FAF" w:rsidRPr="00545CB0" w:rsidRDefault="00052FAF" w:rsidP="00052FAF">
            <w:pPr>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Fz seafood</w:t>
            </w:r>
          </w:p>
        </w:tc>
        <w:tc>
          <w:tcPr>
            <w:tcW w:w="740" w:type="dxa"/>
            <w:shd w:val="clear" w:color="auto" w:fill="595959" w:themeFill="text1" w:themeFillTint="A6"/>
            <w:vAlign w:val="center"/>
          </w:tcPr>
          <w:p w14:paraId="1FFABA50" w14:textId="7777777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545CB0">
              <w:rPr>
                <w:rFonts w:ascii="Arial" w:hAnsi="Arial" w:cs="Arial"/>
                <w:bCs/>
                <w:color w:val="FFFFFF" w:themeColor="background1"/>
                <w:sz w:val="18"/>
                <w:szCs w:val="18"/>
              </w:rPr>
              <w:t>+38%</w:t>
            </w:r>
          </w:p>
        </w:tc>
        <w:tc>
          <w:tcPr>
            <w:tcW w:w="731" w:type="dxa"/>
            <w:shd w:val="clear" w:color="auto" w:fill="595959" w:themeFill="text1" w:themeFillTint="A6"/>
            <w:vAlign w:val="center"/>
          </w:tcPr>
          <w:p w14:paraId="70CA63CE" w14:textId="7777777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545CB0">
              <w:rPr>
                <w:rFonts w:ascii="Arial" w:hAnsi="Arial" w:cs="Arial"/>
                <w:bCs/>
                <w:color w:val="FFFFFF" w:themeColor="background1"/>
                <w:sz w:val="18"/>
                <w:szCs w:val="18"/>
              </w:rPr>
              <w:t>+2%</w:t>
            </w:r>
          </w:p>
        </w:tc>
        <w:tc>
          <w:tcPr>
            <w:tcW w:w="732" w:type="dxa"/>
            <w:shd w:val="clear" w:color="auto" w:fill="595959" w:themeFill="text1" w:themeFillTint="A6"/>
            <w:vAlign w:val="center"/>
          </w:tcPr>
          <w:p w14:paraId="1F63C063" w14:textId="7777777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hAnsi="Arial" w:cs="Arial"/>
                <w:bCs/>
                <w:color w:val="FFFFFF" w:themeColor="background1"/>
                <w:sz w:val="18"/>
                <w:szCs w:val="18"/>
              </w:rPr>
              <w:t>-1%</w:t>
            </w:r>
          </w:p>
        </w:tc>
        <w:tc>
          <w:tcPr>
            <w:tcW w:w="732" w:type="dxa"/>
            <w:shd w:val="clear" w:color="auto" w:fill="595959" w:themeFill="text1" w:themeFillTint="A6"/>
            <w:vAlign w:val="center"/>
          </w:tcPr>
          <w:p w14:paraId="50D854D4" w14:textId="7777777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-4%</w:t>
            </w:r>
          </w:p>
        </w:tc>
        <w:tc>
          <w:tcPr>
            <w:tcW w:w="740" w:type="dxa"/>
            <w:shd w:val="clear" w:color="auto" w:fill="595959" w:themeFill="text1" w:themeFillTint="A6"/>
            <w:vAlign w:val="center"/>
          </w:tcPr>
          <w:p w14:paraId="163B3211" w14:textId="44A056F3"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8"/>
                <w:szCs w:val="18"/>
              </w:rPr>
            </w:pPr>
            <w:r w:rsidRPr="00545CB0">
              <w:rPr>
                <w:rFonts w:ascii="Arial" w:eastAsia="Times New Roman" w:hAnsi="Arial" w:cs="Arial"/>
                <w:color w:val="FFFFFF" w:themeColor="background1"/>
                <w:sz w:val="18"/>
                <w:szCs w:val="18"/>
              </w:rPr>
              <w:t>-3%</w:t>
            </w:r>
          </w:p>
        </w:tc>
        <w:tc>
          <w:tcPr>
            <w:tcW w:w="886" w:type="dxa"/>
            <w:shd w:val="clear" w:color="auto" w:fill="595959" w:themeFill="text1" w:themeFillTint="A6"/>
            <w:vAlign w:val="center"/>
          </w:tcPr>
          <w:p w14:paraId="14949B0B" w14:textId="47F8EE6D"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-0.1%</w:t>
            </w:r>
          </w:p>
        </w:tc>
        <w:tc>
          <w:tcPr>
            <w:tcW w:w="886" w:type="dxa"/>
            <w:shd w:val="clear" w:color="auto" w:fill="595959" w:themeFill="text1" w:themeFillTint="A6"/>
            <w:vAlign w:val="center"/>
          </w:tcPr>
          <w:p w14:paraId="240CA866" w14:textId="639DE26A"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18"/>
              </w:rPr>
              <w:t>+5.3%</w:t>
            </w:r>
          </w:p>
        </w:tc>
        <w:tc>
          <w:tcPr>
            <w:tcW w:w="831" w:type="dxa"/>
            <w:shd w:val="clear" w:color="auto" w:fill="595959" w:themeFill="text1" w:themeFillTint="A6"/>
            <w:vAlign w:val="center"/>
          </w:tcPr>
          <w:p w14:paraId="20DDE7A5" w14:textId="470F98E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hAnsi="Arial" w:cs="Arial"/>
                <w:color w:val="FFFFFF" w:themeColor="background1"/>
                <w:sz w:val="18"/>
                <w:szCs w:val="18"/>
              </w:rPr>
              <w:t>+</w:t>
            </w:r>
            <w:r w:rsidR="002A6CBA">
              <w:rPr>
                <w:rFonts w:ascii="Arial" w:hAnsi="Arial" w:cs="Arial"/>
                <w:color w:val="FFFFFF" w:themeColor="background1"/>
                <w:sz w:val="18"/>
                <w:szCs w:val="18"/>
              </w:rPr>
              <w:t>1.4</w:t>
            </w:r>
            <w:r w:rsidRPr="00545CB0">
              <w:rPr>
                <w:rFonts w:ascii="Arial" w:hAnsi="Arial" w:cs="Arial"/>
                <w:color w:val="FFFFFF" w:themeColor="background1"/>
                <w:sz w:val="18"/>
                <w:szCs w:val="18"/>
              </w:rPr>
              <w:t>%</w:t>
            </w:r>
          </w:p>
        </w:tc>
        <w:tc>
          <w:tcPr>
            <w:tcW w:w="831" w:type="dxa"/>
            <w:shd w:val="clear" w:color="auto" w:fill="595959" w:themeFill="text1" w:themeFillTint="A6"/>
            <w:vAlign w:val="center"/>
          </w:tcPr>
          <w:p w14:paraId="14A51BC3" w14:textId="7B534C45"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8"/>
                <w:szCs w:val="18"/>
              </w:rPr>
            </w:pPr>
            <w:r w:rsidRPr="00545CB0">
              <w:rPr>
                <w:rFonts w:ascii="Arial" w:eastAsia="Times New Roman" w:hAnsi="Arial" w:cs="Arial"/>
                <w:color w:val="FFFFFF" w:themeColor="background1"/>
                <w:sz w:val="18"/>
                <w:szCs w:val="18"/>
              </w:rPr>
              <w:t>$</w:t>
            </w:r>
            <w:r w:rsidR="00EF4667">
              <w:rPr>
                <w:rFonts w:ascii="Arial" w:eastAsia="Times New Roman" w:hAnsi="Arial" w:cs="Arial"/>
                <w:color w:val="FFFFFF" w:themeColor="background1"/>
                <w:sz w:val="18"/>
                <w:szCs w:val="18"/>
              </w:rPr>
              <w:t>569</w:t>
            </w:r>
            <w:r>
              <w:rPr>
                <w:rFonts w:ascii="Arial" w:eastAsia="Times New Roman" w:hAnsi="Arial" w:cs="Arial"/>
                <w:color w:val="FFFFFF" w:themeColor="background1"/>
                <w:sz w:val="18"/>
                <w:szCs w:val="18"/>
              </w:rPr>
              <w:t>M</w:t>
            </w:r>
          </w:p>
        </w:tc>
        <w:tc>
          <w:tcPr>
            <w:tcW w:w="886" w:type="dxa"/>
            <w:shd w:val="clear" w:color="auto" w:fill="595959" w:themeFill="text1" w:themeFillTint="A6"/>
            <w:vAlign w:val="center"/>
          </w:tcPr>
          <w:p w14:paraId="1D26BEFD" w14:textId="424B00E0" w:rsidR="00052FAF" w:rsidRPr="00545CB0" w:rsidRDefault="00EF4667"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+0.1</w:t>
            </w:r>
            <w:r w:rsidR="00052FAF" w:rsidRPr="00545CB0">
              <w:rPr>
                <w:rFonts w:ascii="Arial" w:hAnsi="Arial" w:cs="Arial"/>
                <w:color w:val="FFFFFF" w:themeColor="background1"/>
                <w:sz w:val="18"/>
                <w:szCs w:val="18"/>
              </w:rPr>
              <w:t>%</w:t>
            </w:r>
          </w:p>
        </w:tc>
        <w:tc>
          <w:tcPr>
            <w:tcW w:w="1032" w:type="dxa"/>
            <w:shd w:val="clear" w:color="auto" w:fill="595959" w:themeFill="text1" w:themeFillTint="A6"/>
            <w:vAlign w:val="center"/>
          </w:tcPr>
          <w:p w14:paraId="7279BDC2" w14:textId="12B89013"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w:t>
            </w:r>
            <w:r w:rsidR="00EF4667">
              <w:rPr>
                <w:rFonts w:ascii="Arial" w:hAnsi="Arial" w:cs="Arial"/>
                <w:color w:val="FFFFFF" w:themeColor="background1"/>
                <w:sz w:val="18"/>
                <w:szCs w:val="18"/>
              </w:rPr>
              <w:t>6.4</w:t>
            </w:r>
            <w:r w:rsidRPr="00545CB0">
              <w:rPr>
                <w:rFonts w:ascii="Arial" w:hAnsi="Arial" w:cs="Arial"/>
                <w:color w:val="FFFFFF" w:themeColor="background1"/>
                <w:sz w:val="18"/>
                <w:szCs w:val="18"/>
              </w:rPr>
              <w:t>%</w:t>
            </w:r>
          </w:p>
        </w:tc>
      </w:tr>
      <w:tr w:rsidR="00052FAF" w:rsidRPr="00FA2F0F" w14:paraId="3EA70345" w14:textId="77777777" w:rsidTr="00052FAF">
        <w:trPr>
          <w:trHeight w:val="19"/>
        </w:trPr>
        <w:tc>
          <w:tcPr>
            <w:cnfStyle w:val="001000000000" w:firstRow="0" w:lastRow="0" w:firstColumn="1" w:lastColumn="0" w:oddVBand="0" w:evenVBand="0" w:oddHBand="0" w:evenHBand="0" w:firstRowFirstColumn="0" w:firstRowLastColumn="0" w:lastRowFirstColumn="0" w:lastRowLastColumn="0"/>
            <w:tcW w:w="1438" w:type="dxa"/>
            <w:gridSpan w:val="2"/>
            <w:vAlign w:val="center"/>
          </w:tcPr>
          <w:p w14:paraId="7BA48644" w14:textId="77777777" w:rsidR="00052FAF" w:rsidRPr="00545CB0" w:rsidRDefault="00052FAF" w:rsidP="00052FAF">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Shellfish</w:t>
            </w:r>
          </w:p>
        </w:tc>
        <w:tc>
          <w:tcPr>
            <w:tcW w:w="740" w:type="dxa"/>
            <w:vAlign w:val="center"/>
          </w:tcPr>
          <w:p w14:paraId="71BFCBA5" w14:textId="77777777"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+42%</w:t>
            </w:r>
          </w:p>
        </w:tc>
        <w:tc>
          <w:tcPr>
            <w:tcW w:w="731" w:type="dxa"/>
            <w:vAlign w:val="center"/>
          </w:tcPr>
          <w:p w14:paraId="65F47D56" w14:textId="77777777"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+4%</w:t>
            </w:r>
          </w:p>
        </w:tc>
        <w:tc>
          <w:tcPr>
            <w:tcW w:w="732" w:type="dxa"/>
            <w:vAlign w:val="center"/>
          </w:tcPr>
          <w:p w14:paraId="6F794AF1" w14:textId="77777777"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-5%</w:t>
            </w:r>
          </w:p>
        </w:tc>
        <w:tc>
          <w:tcPr>
            <w:tcW w:w="732" w:type="dxa"/>
            <w:vAlign w:val="center"/>
          </w:tcPr>
          <w:p w14:paraId="1B3D05AD" w14:textId="77777777"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-6%</w:t>
            </w:r>
          </w:p>
        </w:tc>
        <w:tc>
          <w:tcPr>
            <w:tcW w:w="740" w:type="dxa"/>
            <w:vAlign w:val="center"/>
          </w:tcPr>
          <w:p w14:paraId="0F0F76B9" w14:textId="39873284"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-3%</w:t>
            </w:r>
          </w:p>
        </w:tc>
        <w:tc>
          <w:tcPr>
            <w:tcW w:w="886" w:type="dxa"/>
            <w:vAlign w:val="center"/>
          </w:tcPr>
          <w:p w14:paraId="6AE2D8D1" w14:textId="3EA72377"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+0.4%</w:t>
            </w:r>
          </w:p>
        </w:tc>
        <w:tc>
          <w:tcPr>
            <w:tcW w:w="886" w:type="dxa"/>
            <w:vAlign w:val="center"/>
          </w:tcPr>
          <w:p w14:paraId="1BA4CB08" w14:textId="02D8B9E1"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+5.3%</w:t>
            </w:r>
          </w:p>
        </w:tc>
        <w:tc>
          <w:tcPr>
            <w:tcW w:w="831" w:type="dxa"/>
            <w:vAlign w:val="center"/>
          </w:tcPr>
          <w:p w14:paraId="01440B90" w14:textId="42D83BAF" w:rsidR="00052FAF" w:rsidRPr="00CC0A0D"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CC0A0D">
              <w:rPr>
                <w:rFonts w:ascii="Arial" w:hAnsi="Arial" w:cs="Arial"/>
                <w:color w:val="000000" w:themeColor="text1"/>
                <w:sz w:val="18"/>
                <w:szCs w:val="18"/>
              </w:rPr>
              <w:t>+</w:t>
            </w:r>
            <w:r w:rsidR="002A6CBA">
              <w:rPr>
                <w:rFonts w:ascii="Arial" w:hAnsi="Arial" w:cs="Arial"/>
                <w:color w:val="000000" w:themeColor="text1"/>
                <w:sz w:val="18"/>
                <w:szCs w:val="18"/>
              </w:rPr>
              <w:t>0.2</w:t>
            </w:r>
            <w:r w:rsidRPr="00CC0A0D">
              <w:rPr>
                <w:rFonts w:ascii="Arial" w:hAnsi="Arial" w:cs="Arial"/>
                <w:color w:val="000000" w:themeColor="text1"/>
                <w:sz w:val="18"/>
                <w:szCs w:val="18"/>
              </w:rPr>
              <w:t>%</w:t>
            </w:r>
          </w:p>
        </w:tc>
        <w:tc>
          <w:tcPr>
            <w:tcW w:w="831" w:type="dxa"/>
            <w:vAlign w:val="center"/>
          </w:tcPr>
          <w:p w14:paraId="1C0DA430" w14:textId="6AEB966D" w:rsidR="00052FAF" w:rsidRPr="00CC0A0D"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C0A0D">
              <w:rPr>
                <w:rFonts w:ascii="Arial" w:eastAsia="Times New Roman" w:hAnsi="Arial" w:cs="Arial"/>
                <w:color w:val="000000" w:themeColor="text1"/>
                <w:sz w:val="18"/>
                <w:szCs w:val="18"/>
              </w:rPr>
              <w:t>$</w:t>
            </w:r>
            <w:r w:rsidR="00EF4667">
              <w:rPr>
                <w:rFonts w:ascii="Arial" w:eastAsia="Times New Roman" w:hAnsi="Arial" w:cs="Arial"/>
                <w:color w:val="000000" w:themeColor="text1"/>
                <w:sz w:val="18"/>
                <w:szCs w:val="18"/>
              </w:rPr>
              <w:t>338</w:t>
            </w:r>
            <w:r w:rsidRPr="00CC0A0D">
              <w:rPr>
                <w:rFonts w:ascii="Arial" w:eastAsia="Times New Roman" w:hAnsi="Arial" w:cs="Arial"/>
                <w:color w:val="000000" w:themeColor="text1"/>
                <w:sz w:val="18"/>
                <w:szCs w:val="18"/>
              </w:rPr>
              <w:t>M</w:t>
            </w:r>
          </w:p>
        </w:tc>
        <w:tc>
          <w:tcPr>
            <w:tcW w:w="886" w:type="dxa"/>
            <w:vAlign w:val="center"/>
          </w:tcPr>
          <w:p w14:paraId="52607458" w14:textId="6A794D04" w:rsidR="00052FAF" w:rsidRPr="00CC0A0D" w:rsidRDefault="002A6CBA"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EF4667">
              <w:rPr>
                <w:rFonts w:ascii="Arial" w:hAnsi="Arial" w:cs="Arial"/>
                <w:color w:val="000000" w:themeColor="text1"/>
                <w:sz w:val="18"/>
                <w:szCs w:val="18"/>
              </w:rPr>
              <w:t>1.7</w:t>
            </w:r>
            <w:r w:rsidR="00052FAF" w:rsidRPr="00CC0A0D">
              <w:rPr>
                <w:rFonts w:ascii="Arial" w:hAnsi="Arial" w:cs="Arial"/>
                <w:color w:val="000000" w:themeColor="text1"/>
                <w:sz w:val="18"/>
                <w:szCs w:val="18"/>
              </w:rPr>
              <w:t>%</w:t>
            </w:r>
          </w:p>
        </w:tc>
        <w:tc>
          <w:tcPr>
            <w:tcW w:w="1032" w:type="dxa"/>
            <w:vAlign w:val="center"/>
          </w:tcPr>
          <w:p w14:paraId="595C2291" w14:textId="15A9C8E0" w:rsidR="00052FAF" w:rsidRPr="00CC0A0D"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EF4667">
              <w:rPr>
                <w:rFonts w:ascii="Arial" w:hAnsi="Arial" w:cs="Arial"/>
                <w:color w:val="000000" w:themeColor="text1"/>
                <w:sz w:val="18"/>
                <w:szCs w:val="18"/>
              </w:rPr>
              <w:t>12.1</w:t>
            </w:r>
            <w:r w:rsidRPr="00CC0A0D">
              <w:rPr>
                <w:rFonts w:ascii="Arial" w:hAnsi="Arial" w:cs="Arial"/>
                <w:color w:val="000000" w:themeColor="text1"/>
                <w:sz w:val="18"/>
                <w:szCs w:val="18"/>
              </w:rPr>
              <w:t>%</w:t>
            </w:r>
          </w:p>
        </w:tc>
      </w:tr>
      <w:tr w:rsidR="00052FAF" w:rsidRPr="00FA2F0F" w14:paraId="5735DC78" w14:textId="77777777" w:rsidTr="00052FAF">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438" w:type="dxa"/>
            <w:gridSpan w:val="2"/>
            <w:shd w:val="clear" w:color="auto" w:fill="D9D9D9" w:themeFill="background1" w:themeFillShade="D9"/>
            <w:vAlign w:val="center"/>
          </w:tcPr>
          <w:p w14:paraId="28354BCE" w14:textId="77777777" w:rsidR="00052FAF" w:rsidRPr="00545CB0" w:rsidRDefault="00052FAF" w:rsidP="00052FAF">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Finfish</w:t>
            </w:r>
          </w:p>
        </w:tc>
        <w:tc>
          <w:tcPr>
            <w:tcW w:w="740" w:type="dxa"/>
            <w:shd w:val="clear" w:color="auto" w:fill="D9D9D9" w:themeFill="background1" w:themeFillShade="D9"/>
            <w:vAlign w:val="center"/>
          </w:tcPr>
          <w:p w14:paraId="1FA9DA3B" w14:textId="7777777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+32%</w:t>
            </w:r>
          </w:p>
        </w:tc>
        <w:tc>
          <w:tcPr>
            <w:tcW w:w="731" w:type="dxa"/>
            <w:shd w:val="clear" w:color="auto" w:fill="D9D9D9" w:themeFill="background1" w:themeFillShade="D9"/>
            <w:vAlign w:val="center"/>
          </w:tcPr>
          <w:p w14:paraId="5225CC58" w14:textId="7777777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-1%</w:t>
            </w:r>
          </w:p>
        </w:tc>
        <w:tc>
          <w:tcPr>
            <w:tcW w:w="732" w:type="dxa"/>
            <w:shd w:val="clear" w:color="auto" w:fill="D9D9D9" w:themeFill="background1" w:themeFillShade="D9"/>
            <w:vAlign w:val="center"/>
          </w:tcPr>
          <w:p w14:paraId="0F1D2DAE" w14:textId="7777777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+7%</w:t>
            </w:r>
          </w:p>
        </w:tc>
        <w:tc>
          <w:tcPr>
            <w:tcW w:w="732" w:type="dxa"/>
            <w:shd w:val="clear" w:color="auto" w:fill="D9D9D9" w:themeFill="background1" w:themeFillShade="D9"/>
            <w:vAlign w:val="center"/>
          </w:tcPr>
          <w:p w14:paraId="6D6E1A4A" w14:textId="7777777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-2%</w:t>
            </w:r>
          </w:p>
        </w:tc>
        <w:tc>
          <w:tcPr>
            <w:tcW w:w="740" w:type="dxa"/>
            <w:shd w:val="clear" w:color="auto" w:fill="D9D9D9" w:themeFill="background1" w:themeFillShade="D9"/>
            <w:vAlign w:val="center"/>
          </w:tcPr>
          <w:p w14:paraId="33F37DEC" w14:textId="17077BE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-1%</w:t>
            </w:r>
          </w:p>
        </w:tc>
        <w:tc>
          <w:tcPr>
            <w:tcW w:w="886" w:type="dxa"/>
            <w:shd w:val="clear" w:color="auto" w:fill="D9D9D9" w:themeFill="background1" w:themeFillShade="D9"/>
            <w:vAlign w:val="center"/>
          </w:tcPr>
          <w:p w14:paraId="134C3E9A" w14:textId="51D920A0"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-1.1%</w:t>
            </w:r>
          </w:p>
        </w:tc>
        <w:tc>
          <w:tcPr>
            <w:tcW w:w="886" w:type="dxa"/>
            <w:shd w:val="clear" w:color="auto" w:fill="D9D9D9" w:themeFill="background1" w:themeFillShade="D9"/>
            <w:vAlign w:val="center"/>
          </w:tcPr>
          <w:p w14:paraId="6F0A5A28" w14:textId="18872611"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+5.6%</w:t>
            </w:r>
          </w:p>
        </w:tc>
        <w:tc>
          <w:tcPr>
            <w:tcW w:w="831" w:type="dxa"/>
            <w:shd w:val="clear" w:color="auto" w:fill="D9D9D9" w:themeFill="background1" w:themeFillShade="D9"/>
            <w:vAlign w:val="center"/>
          </w:tcPr>
          <w:p w14:paraId="7DC878A3" w14:textId="54739AA1" w:rsidR="00052FAF" w:rsidRPr="00CC0A0D"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CC0A0D">
              <w:rPr>
                <w:rFonts w:ascii="Arial" w:hAnsi="Arial" w:cs="Arial"/>
                <w:color w:val="000000" w:themeColor="text1"/>
                <w:sz w:val="18"/>
                <w:szCs w:val="18"/>
              </w:rPr>
              <w:t>+</w:t>
            </w:r>
            <w:r w:rsidR="002A6CBA">
              <w:rPr>
                <w:rFonts w:ascii="Arial" w:hAnsi="Arial" w:cs="Arial"/>
                <w:color w:val="000000" w:themeColor="text1"/>
                <w:sz w:val="18"/>
                <w:szCs w:val="18"/>
              </w:rPr>
              <w:t>3.3</w:t>
            </w:r>
            <w:r w:rsidRPr="00CC0A0D">
              <w:rPr>
                <w:rFonts w:ascii="Arial" w:hAnsi="Arial" w:cs="Arial"/>
                <w:color w:val="000000" w:themeColor="text1"/>
                <w:sz w:val="18"/>
                <w:szCs w:val="18"/>
              </w:rPr>
              <w:t>%</w:t>
            </w:r>
          </w:p>
        </w:tc>
        <w:tc>
          <w:tcPr>
            <w:tcW w:w="831" w:type="dxa"/>
            <w:shd w:val="clear" w:color="auto" w:fill="D9D9D9" w:themeFill="background1" w:themeFillShade="D9"/>
            <w:vAlign w:val="center"/>
          </w:tcPr>
          <w:p w14:paraId="7B31A3EB" w14:textId="5E862386" w:rsidR="00052FAF" w:rsidRPr="00CC0A0D"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C0A0D">
              <w:rPr>
                <w:rFonts w:ascii="Arial" w:eastAsia="Times New Roman" w:hAnsi="Arial" w:cs="Arial"/>
                <w:color w:val="000000" w:themeColor="text1"/>
                <w:sz w:val="18"/>
                <w:szCs w:val="18"/>
              </w:rPr>
              <w:t>$</w:t>
            </w:r>
            <w:r w:rsidR="00EF4667">
              <w:rPr>
                <w:rFonts w:ascii="Arial" w:eastAsia="Times New Roman" w:hAnsi="Arial" w:cs="Arial"/>
                <w:color w:val="000000" w:themeColor="text1"/>
                <w:sz w:val="18"/>
                <w:szCs w:val="18"/>
              </w:rPr>
              <w:t>214</w:t>
            </w:r>
            <w:r w:rsidR="002A6CBA">
              <w:rPr>
                <w:rFonts w:ascii="Arial" w:eastAsia="Times New Roman" w:hAnsi="Arial" w:cs="Arial"/>
                <w:color w:val="000000" w:themeColor="text1"/>
                <w:sz w:val="18"/>
                <w:szCs w:val="18"/>
              </w:rPr>
              <w:t>M</w:t>
            </w:r>
          </w:p>
        </w:tc>
        <w:tc>
          <w:tcPr>
            <w:tcW w:w="886" w:type="dxa"/>
            <w:shd w:val="clear" w:color="auto" w:fill="D9D9D9" w:themeFill="background1" w:themeFillShade="D9"/>
            <w:vAlign w:val="center"/>
          </w:tcPr>
          <w:p w14:paraId="3A6A6416" w14:textId="090A4E15" w:rsidR="00052FAF" w:rsidRPr="00CC0A0D"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C0A0D">
              <w:rPr>
                <w:rFonts w:ascii="Arial" w:hAnsi="Arial" w:cs="Arial"/>
                <w:color w:val="000000" w:themeColor="text1"/>
                <w:sz w:val="18"/>
                <w:szCs w:val="18"/>
              </w:rPr>
              <w:t>+</w:t>
            </w:r>
            <w:r w:rsidR="00EF4667">
              <w:rPr>
                <w:rFonts w:ascii="Arial" w:hAnsi="Arial" w:cs="Arial"/>
                <w:color w:val="000000" w:themeColor="text1"/>
                <w:sz w:val="18"/>
                <w:szCs w:val="18"/>
              </w:rPr>
              <w:t>3.7</w:t>
            </w:r>
            <w:r w:rsidRPr="00CC0A0D">
              <w:rPr>
                <w:rFonts w:ascii="Arial" w:hAnsi="Arial" w:cs="Arial"/>
                <w:color w:val="000000" w:themeColor="text1"/>
                <w:sz w:val="18"/>
                <w:szCs w:val="18"/>
              </w:rPr>
              <w:t>%</w:t>
            </w:r>
          </w:p>
        </w:tc>
        <w:tc>
          <w:tcPr>
            <w:tcW w:w="1032" w:type="dxa"/>
            <w:shd w:val="clear" w:color="auto" w:fill="D9D9D9" w:themeFill="background1" w:themeFillShade="D9"/>
            <w:vAlign w:val="center"/>
          </w:tcPr>
          <w:p w14:paraId="1E8E6142" w14:textId="2F249CCD" w:rsidR="00052FAF" w:rsidRPr="00CC0A0D" w:rsidRDefault="00EF4667"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+1.2</w:t>
            </w:r>
            <w:r w:rsidR="00052FAF" w:rsidRPr="00CC0A0D">
              <w:rPr>
                <w:rFonts w:ascii="Arial" w:hAnsi="Arial" w:cs="Arial"/>
                <w:color w:val="000000" w:themeColor="text1"/>
                <w:sz w:val="18"/>
                <w:szCs w:val="18"/>
              </w:rPr>
              <w:t>%</w:t>
            </w:r>
          </w:p>
        </w:tc>
      </w:tr>
      <w:tr w:rsidR="00052FAF" w:rsidRPr="00FA2F0F" w14:paraId="0F5C9896" w14:textId="77777777" w:rsidTr="00052FAF">
        <w:trPr>
          <w:trHeight w:val="19"/>
        </w:trPr>
        <w:tc>
          <w:tcPr>
            <w:cnfStyle w:val="001000000000" w:firstRow="0" w:lastRow="0" w:firstColumn="1" w:lastColumn="0" w:oddVBand="0" w:evenVBand="0" w:oddHBand="0" w:evenHBand="0" w:firstRowFirstColumn="0" w:firstRowLastColumn="0" w:lastRowFirstColumn="0" w:lastRowLastColumn="0"/>
            <w:tcW w:w="1438" w:type="dxa"/>
            <w:gridSpan w:val="2"/>
            <w:shd w:val="clear" w:color="auto" w:fill="D9D9D9" w:themeFill="background1" w:themeFillShade="D9"/>
            <w:vAlign w:val="center"/>
          </w:tcPr>
          <w:p w14:paraId="24C64C88" w14:textId="77777777" w:rsidR="00052FAF" w:rsidRPr="00545CB0" w:rsidRDefault="00052FAF" w:rsidP="00052FAF">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Seafood alternatives</w:t>
            </w:r>
          </w:p>
        </w:tc>
        <w:tc>
          <w:tcPr>
            <w:tcW w:w="740" w:type="dxa"/>
            <w:shd w:val="clear" w:color="auto" w:fill="D9D9D9" w:themeFill="background1" w:themeFillShade="D9"/>
            <w:vAlign w:val="center"/>
          </w:tcPr>
          <w:p w14:paraId="6672C75C" w14:textId="77777777"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+22%</w:t>
            </w:r>
          </w:p>
        </w:tc>
        <w:tc>
          <w:tcPr>
            <w:tcW w:w="731" w:type="dxa"/>
            <w:shd w:val="clear" w:color="auto" w:fill="D9D9D9" w:themeFill="background1" w:themeFillShade="D9"/>
            <w:vAlign w:val="center"/>
          </w:tcPr>
          <w:p w14:paraId="5C56F8F9" w14:textId="77777777"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+19%</w:t>
            </w:r>
          </w:p>
        </w:tc>
        <w:tc>
          <w:tcPr>
            <w:tcW w:w="732" w:type="dxa"/>
            <w:shd w:val="clear" w:color="auto" w:fill="D9D9D9" w:themeFill="background1" w:themeFillShade="D9"/>
            <w:vAlign w:val="center"/>
          </w:tcPr>
          <w:p w14:paraId="0F9A5F85" w14:textId="77777777"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+16%</w:t>
            </w:r>
          </w:p>
        </w:tc>
        <w:tc>
          <w:tcPr>
            <w:tcW w:w="732" w:type="dxa"/>
            <w:shd w:val="clear" w:color="auto" w:fill="D9D9D9" w:themeFill="background1" w:themeFillShade="D9"/>
            <w:vAlign w:val="center"/>
          </w:tcPr>
          <w:p w14:paraId="304F3CD8" w14:textId="77777777"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-15%</w:t>
            </w:r>
          </w:p>
        </w:tc>
        <w:tc>
          <w:tcPr>
            <w:tcW w:w="740" w:type="dxa"/>
            <w:shd w:val="clear" w:color="auto" w:fill="D9D9D9" w:themeFill="background1" w:themeFillShade="D9"/>
            <w:vAlign w:val="center"/>
          </w:tcPr>
          <w:p w14:paraId="6ADE07E7" w14:textId="06C9BF91"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-5%</w:t>
            </w:r>
          </w:p>
        </w:tc>
        <w:tc>
          <w:tcPr>
            <w:tcW w:w="886" w:type="dxa"/>
            <w:shd w:val="clear" w:color="auto" w:fill="D9D9D9" w:themeFill="background1" w:themeFillShade="D9"/>
            <w:vAlign w:val="center"/>
          </w:tcPr>
          <w:p w14:paraId="3F52D29E" w14:textId="5BE723BC"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-2.0%</w:t>
            </w:r>
          </w:p>
        </w:tc>
        <w:tc>
          <w:tcPr>
            <w:tcW w:w="886" w:type="dxa"/>
            <w:shd w:val="clear" w:color="auto" w:fill="D9D9D9" w:themeFill="background1" w:themeFillShade="D9"/>
            <w:vAlign w:val="center"/>
          </w:tcPr>
          <w:p w14:paraId="6766D1AF" w14:textId="5F4190CE"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-10.6%</w:t>
            </w:r>
          </w:p>
        </w:tc>
        <w:tc>
          <w:tcPr>
            <w:tcW w:w="831" w:type="dxa"/>
            <w:shd w:val="clear" w:color="auto" w:fill="D9D9D9" w:themeFill="background1" w:themeFillShade="D9"/>
            <w:vAlign w:val="center"/>
          </w:tcPr>
          <w:p w14:paraId="63B6A2FD" w14:textId="16A42963" w:rsidR="00052FAF" w:rsidRPr="00CC0A0D"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2A6CBA">
              <w:rPr>
                <w:rFonts w:ascii="Arial" w:hAnsi="Arial" w:cs="Arial"/>
                <w:color w:val="000000" w:themeColor="text1"/>
                <w:sz w:val="18"/>
                <w:szCs w:val="18"/>
              </w:rPr>
              <w:t>2.7</w:t>
            </w:r>
            <w:r w:rsidRPr="00CC0A0D">
              <w:rPr>
                <w:rFonts w:ascii="Arial" w:hAnsi="Arial" w:cs="Arial"/>
                <w:color w:val="000000" w:themeColor="text1"/>
                <w:sz w:val="18"/>
                <w:szCs w:val="18"/>
              </w:rPr>
              <w:t>%</w:t>
            </w:r>
          </w:p>
        </w:tc>
        <w:tc>
          <w:tcPr>
            <w:tcW w:w="831" w:type="dxa"/>
            <w:shd w:val="clear" w:color="auto" w:fill="D9D9D9" w:themeFill="background1" w:themeFillShade="D9"/>
            <w:vAlign w:val="center"/>
          </w:tcPr>
          <w:p w14:paraId="6E87220E" w14:textId="66BA6888" w:rsidR="00052FAF" w:rsidRPr="00CC0A0D"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C0A0D">
              <w:rPr>
                <w:rFonts w:ascii="Arial" w:eastAsia="Times New Roman" w:hAnsi="Arial" w:cs="Arial"/>
                <w:color w:val="000000" w:themeColor="text1"/>
                <w:sz w:val="18"/>
                <w:szCs w:val="18"/>
              </w:rPr>
              <w:t>$</w:t>
            </w:r>
            <w:r w:rsidR="00EF4667">
              <w:rPr>
                <w:rFonts w:ascii="Arial" w:eastAsia="Times New Roman" w:hAnsi="Arial" w:cs="Arial"/>
                <w:color w:val="000000" w:themeColor="text1"/>
                <w:sz w:val="18"/>
                <w:szCs w:val="18"/>
              </w:rPr>
              <w:t>567</w:t>
            </w:r>
            <w:r w:rsidR="002A6CBA">
              <w:rPr>
                <w:rFonts w:ascii="Arial" w:eastAsia="Times New Roman" w:hAnsi="Arial" w:cs="Arial"/>
                <w:color w:val="000000" w:themeColor="text1"/>
                <w:sz w:val="18"/>
                <w:szCs w:val="18"/>
              </w:rPr>
              <w:t>K</w:t>
            </w:r>
          </w:p>
        </w:tc>
        <w:tc>
          <w:tcPr>
            <w:tcW w:w="886" w:type="dxa"/>
            <w:shd w:val="clear" w:color="auto" w:fill="D9D9D9" w:themeFill="background1" w:themeFillShade="D9"/>
            <w:vAlign w:val="center"/>
          </w:tcPr>
          <w:p w14:paraId="51325A1D" w14:textId="01818F2B" w:rsidR="00052FAF" w:rsidRPr="00CC0A0D" w:rsidRDefault="00637392"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EF4667">
              <w:rPr>
                <w:rFonts w:ascii="Arial" w:hAnsi="Arial" w:cs="Arial"/>
                <w:color w:val="000000" w:themeColor="text1"/>
                <w:sz w:val="18"/>
                <w:szCs w:val="18"/>
              </w:rPr>
              <w:t>14.7</w:t>
            </w:r>
            <w:r w:rsidR="00052FAF" w:rsidRPr="00CC0A0D">
              <w:rPr>
                <w:rFonts w:ascii="Arial" w:hAnsi="Arial" w:cs="Arial"/>
                <w:color w:val="000000" w:themeColor="text1"/>
                <w:sz w:val="18"/>
                <w:szCs w:val="18"/>
              </w:rPr>
              <w:t>%</w:t>
            </w:r>
          </w:p>
        </w:tc>
        <w:tc>
          <w:tcPr>
            <w:tcW w:w="1032" w:type="dxa"/>
            <w:shd w:val="clear" w:color="auto" w:fill="D9D9D9" w:themeFill="background1" w:themeFillShade="D9"/>
            <w:vAlign w:val="center"/>
          </w:tcPr>
          <w:p w14:paraId="13B7DB16" w14:textId="22E51240" w:rsidR="00052FAF" w:rsidRPr="00CC0A0D" w:rsidRDefault="002A6CBA"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EF4667">
              <w:rPr>
                <w:rFonts w:ascii="Arial" w:hAnsi="Arial" w:cs="Arial"/>
                <w:color w:val="000000" w:themeColor="text1"/>
                <w:sz w:val="18"/>
                <w:szCs w:val="18"/>
              </w:rPr>
              <w:t>17.6</w:t>
            </w:r>
            <w:r w:rsidR="00052FAF" w:rsidRPr="00CC0A0D">
              <w:rPr>
                <w:rFonts w:ascii="Arial" w:hAnsi="Arial" w:cs="Arial"/>
                <w:color w:val="000000" w:themeColor="text1"/>
                <w:sz w:val="18"/>
                <w:szCs w:val="18"/>
              </w:rPr>
              <w:t>%</w:t>
            </w:r>
          </w:p>
        </w:tc>
      </w:tr>
    </w:tbl>
    <w:p w14:paraId="3CFAD952" w14:textId="77777777" w:rsidR="007C4ED5" w:rsidRDefault="007C4ED5" w:rsidP="007C4ED5">
      <w:pPr>
        <w:pStyle w:val="NoSpacing"/>
        <w:rPr>
          <w:rFonts w:ascii="Arial" w:hAnsi="Arial" w:cs="Arial"/>
          <w:color w:val="7F7F7F" w:themeColor="text1" w:themeTint="80"/>
          <w:sz w:val="16"/>
          <w:szCs w:val="14"/>
        </w:rPr>
      </w:pPr>
    </w:p>
    <w:p w14:paraId="336BB76C" w14:textId="4EBF27B6" w:rsidR="00BE7E48" w:rsidRDefault="007C4ED5" w:rsidP="004970F6">
      <w:pPr>
        <w:pStyle w:val="NoSpacing"/>
        <w:rPr>
          <w:rFonts w:ascii="Arial" w:hAnsi="Arial" w:cs="Arial"/>
          <w:b/>
          <w:bCs/>
          <w:color w:val="00857C"/>
        </w:rPr>
      </w:pPr>
      <w:r w:rsidRPr="000A6F81">
        <w:rPr>
          <w:rFonts w:ascii="Arial" w:hAnsi="Arial" w:cs="Arial"/>
          <w:color w:val="7F7F7F" w:themeColor="text1" w:themeTint="80"/>
          <w:sz w:val="16"/>
          <w:szCs w:val="14"/>
        </w:rPr>
        <w:t xml:space="preserve">Source: </w:t>
      </w:r>
      <w:proofErr w:type="spellStart"/>
      <w:r w:rsidRPr="000A6F81">
        <w:rPr>
          <w:rFonts w:ascii="Arial" w:hAnsi="Arial" w:cs="Arial"/>
          <w:color w:val="7F7F7F" w:themeColor="text1" w:themeTint="80"/>
          <w:sz w:val="16"/>
          <w:szCs w:val="14"/>
        </w:rPr>
        <w:t>Circana</w:t>
      </w:r>
      <w:proofErr w:type="spellEnd"/>
      <w:r w:rsidRPr="000A6F81">
        <w:rPr>
          <w:rFonts w:ascii="Arial" w:hAnsi="Arial" w:cs="Arial"/>
          <w:color w:val="7F7F7F" w:themeColor="text1" w:themeTint="80"/>
          <w:sz w:val="16"/>
          <w:szCs w:val="14"/>
        </w:rPr>
        <w:t>, Integrated Fresh, Total US, MULO+</w:t>
      </w:r>
    </w:p>
    <w:p w14:paraId="23701A0D" w14:textId="77777777" w:rsidR="00637392" w:rsidRDefault="00637392" w:rsidP="004970F6">
      <w:pPr>
        <w:pStyle w:val="NoSpacing"/>
        <w:rPr>
          <w:rFonts w:ascii="Arial" w:hAnsi="Arial" w:cs="Arial"/>
          <w:b/>
          <w:bCs/>
          <w:color w:val="00857C"/>
        </w:rPr>
      </w:pPr>
    </w:p>
    <w:p w14:paraId="7A8EA595" w14:textId="2E4B8D15" w:rsidR="00F7176E" w:rsidRPr="00C24355" w:rsidRDefault="00E5115C" w:rsidP="004970F6">
      <w:pPr>
        <w:pStyle w:val="NoSpacing"/>
        <w:rPr>
          <w:rFonts w:ascii="Arial" w:hAnsi="Arial" w:cs="Arial"/>
          <w:b/>
          <w:bCs/>
          <w:color w:val="00857C"/>
        </w:rPr>
      </w:pPr>
      <w:r w:rsidRPr="00C24355">
        <w:rPr>
          <w:rFonts w:ascii="Arial" w:hAnsi="Arial" w:cs="Arial"/>
          <w:b/>
          <w:bCs/>
          <w:color w:val="00857C"/>
        </w:rPr>
        <w:t xml:space="preserve">Top </w:t>
      </w:r>
      <w:r w:rsidR="00C95FE6" w:rsidRPr="00C24355">
        <w:rPr>
          <w:rFonts w:ascii="Arial" w:hAnsi="Arial" w:cs="Arial"/>
          <w:b/>
          <w:bCs/>
          <w:color w:val="00857C"/>
        </w:rPr>
        <w:t>5</w:t>
      </w:r>
      <w:r w:rsidRPr="00C24355">
        <w:rPr>
          <w:rFonts w:ascii="Arial" w:hAnsi="Arial" w:cs="Arial"/>
          <w:b/>
          <w:bCs/>
          <w:color w:val="00857C"/>
        </w:rPr>
        <w:t xml:space="preserve"> Frozen Species</w:t>
      </w:r>
      <w:r w:rsidR="00010FAD" w:rsidRPr="00C24355">
        <w:rPr>
          <w:rFonts w:ascii="Arial" w:hAnsi="Arial" w:cs="Arial"/>
          <w:b/>
          <w:bCs/>
          <w:color w:val="00857C"/>
        </w:rPr>
        <w:t xml:space="preserve"> </w:t>
      </w:r>
    </w:p>
    <w:p w14:paraId="17B497BB" w14:textId="77777777" w:rsidR="00103FB9" w:rsidRDefault="00637392" w:rsidP="00CB097D">
      <w:pPr>
        <w:pStyle w:val="NoSpacing"/>
        <w:rPr>
          <w:rFonts w:ascii="Arial" w:hAnsi="Arial" w:cs="Arial"/>
          <w:color w:val="000000" w:themeColor="text1"/>
          <w:sz w:val="20"/>
          <w:szCs w:val="20"/>
        </w:rPr>
      </w:pPr>
      <w:r>
        <w:rPr>
          <w:rFonts w:ascii="Arial" w:hAnsi="Arial" w:cs="Arial"/>
          <w:color w:val="000000" w:themeColor="text1"/>
          <w:sz w:val="20"/>
          <w:szCs w:val="20"/>
        </w:rPr>
        <w:t xml:space="preserve">Frozen shrimp </w:t>
      </w:r>
      <w:r w:rsidR="00103FB9">
        <w:rPr>
          <w:rFonts w:ascii="Arial" w:hAnsi="Arial" w:cs="Arial"/>
          <w:color w:val="000000" w:themeColor="text1"/>
          <w:sz w:val="20"/>
          <w:szCs w:val="20"/>
        </w:rPr>
        <w:t xml:space="preserve">dominate frozen seafood sales. At $284 million, shrimp represented 50% of frozen seafood sales in November. However, year-over-year, seafood sales were down in dollars and pounds. Salmon, on the other hand, had very strong November growth. Dollar sales grew by double digits and pound sales advanced 4.6%. </w:t>
      </w:r>
    </w:p>
    <w:p w14:paraId="21A86385" w14:textId="77777777" w:rsidR="00103FB9" w:rsidRDefault="00103FB9" w:rsidP="00CB097D">
      <w:pPr>
        <w:pStyle w:val="NoSpacing"/>
        <w:rPr>
          <w:rFonts w:ascii="Arial" w:hAnsi="Arial" w:cs="Arial"/>
          <w:color w:val="000000" w:themeColor="text1"/>
          <w:sz w:val="20"/>
          <w:szCs w:val="20"/>
        </w:rPr>
      </w:pPr>
    </w:p>
    <w:p w14:paraId="1ADBFEF6" w14:textId="785DEE05" w:rsidR="00CB097D" w:rsidRDefault="00103FB9" w:rsidP="00CB097D">
      <w:pPr>
        <w:pStyle w:val="NoSpacing"/>
        <w:rPr>
          <w:rFonts w:ascii="Arial" w:hAnsi="Arial" w:cs="Arial"/>
          <w:color w:val="000000" w:themeColor="text1"/>
          <w:sz w:val="20"/>
          <w:szCs w:val="20"/>
        </w:rPr>
      </w:pPr>
      <w:r>
        <w:rPr>
          <w:rFonts w:ascii="Arial" w:hAnsi="Arial" w:cs="Arial"/>
          <w:color w:val="000000" w:themeColor="text1"/>
          <w:sz w:val="20"/>
          <w:szCs w:val="20"/>
        </w:rPr>
        <w:t xml:space="preserve">Crab moved back into the top five frozen species with solid dollar gains, though pounds were down by 1.4%. </w:t>
      </w:r>
      <w:r>
        <w:rPr>
          <w:rFonts w:ascii="Arial" w:hAnsi="Arial" w:cs="Arial"/>
          <w:color w:val="000000" w:themeColor="text1"/>
          <w:sz w:val="20"/>
          <w:szCs w:val="20"/>
        </w:rPr>
        <w:br/>
      </w:r>
    </w:p>
    <w:p w14:paraId="235CE39F" w14:textId="77777777" w:rsidR="00637392" w:rsidRDefault="00637392" w:rsidP="00CB097D">
      <w:pPr>
        <w:pStyle w:val="NoSpacing"/>
        <w:rPr>
          <w:rFonts w:ascii="Arial" w:hAnsi="Arial" w:cs="Arial"/>
          <w:color w:val="000000" w:themeColor="text1"/>
          <w:sz w:val="20"/>
          <w:szCs w:val="20"/>
        </w:rPr>
      </w:pPr>
    </w:p>
    <w:tbl>
      <w:tblPr>
        <w:tblStyle w:val="ListTable2"/>
        <w:tblW w:w="10620" w:type="dxa"/>
        <w:tblLayout w:type="fixed"/>
        <w:tblLook w:val="04A0" w:firstRow="1" w:lastRow="0" w:firstColumn="1" w:lastColumn="0" w:noHBand="0" w:noVBand="1"/>
      </w:tblPr>
      <w:tblGrid>
        <w:gridCol w:w="2070"/>
        <w:gridCol w:w="1455"/>
        <w:gridCol w:w="1455"/>
        <w:gridCol w:w="1500"/>
        <w:gridCol w:w="1410"/>
        <w:gridCol w:w="1290"/>
        <w:gridCol w:w="1440"/>
      </w:tblGrid>
      <w:tr w:rsidR="00C75C35" w:rsidRPr="00A80540" w14:paraId="74E8430C" w14:textId="77777777" w:rsidTr="00C535D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tcPr>
          <w:p w14:paraId="7AB07534" w14:textId="59460436" w:rsidR="00C75C35" w:rsidRPr="00A80540" w:rsidRDefault="00C75C35" w:rsidP="00C75C35">
            <w:pPr>
              <w:pStyle w:val="NoSpacing"/>
              <w:rPr>
                <w:rFonts w:ascii="Arial" w:hAnsi="Arial" w:cs="Arial"/>
                <w:color w:val="FFFFFF" w:themeColor="background1"/>
                <w:sz w:val="18"/>
                <w:szCs w:val="18"/>
              </w:rPr>
            </w:pPr>
            <w:r>
              <w:rPr>
                <w:rFonts w:ascii="Arial" w:hAnsi="Arial" w:cs="Arial"/>
                <w:color w:val="FFFFFF" w:themeColor="background1"/>
                <w:sz w:val="18"/>
                <w:szCs w:val="18"/>
              </w:rPr>
              <w:t>Top 5 frozen species</w:t>
            </w:r>
          </w:p>
        </w:tc>
        <w:tc>
          <w:tcPr>
            <w:tcW w:w="4410" w:type="dxa"/>
            <w:gridSpan w:val="3"/>
            <w:shd w:val="clear" w:color="auto" w:fill="17365D" w:themeFill="text2" w:themeFillShade="BF"/>
          </w:tcPr>
          <w:p w14:paraId="5E8D3EC1" w14:textId="144675E8" w:rsidR="00C75C35" w:rsidRPr="00A80540" w:rsidRDefault="00F6094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November 2025</w:t>
            </w:r>
          </w:p>
        </w:tc>
        <w:tc>
          <w:tcPr>
            <w:tcW w:w="4140" w:type="dxa"/>
            <w:gridSpan w:val="3"/>
            <w:shd w:val="clear" w:color="auto" w:fill="17365D" w:themeFill="text2" w:themeFillShade="BF"/>
          </w:tcPr>
          <w:p w14:paraId="6BAD5D7C" w14:textId="3C4CB95B"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216044" w:rsidRPr="00A80540" w14:paraId="5F7E8148" w14:textId="77777777" w:rsidTr="005B221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tcPr>
          <w:p w14:paraId="0D611DDF" w14:textId="77777777" w:rsidR="00216044" w:rsidRPr="00A80540" w:rsidRDefault="00216044" w:rsidP="0068426D">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455" w:type="dxa"/>
            <w:shd w:val="clear" w:color="auto" w:fill="17365D" w:themeFill="text2" w:themeFillShade="BF"/>
          </w:tcPr>
          <w:p w14:paraId="61C3A6E3"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55" w:type="dxa"/>
            <w:shd w:val="clear" w:color="auto" w:fill="17365D" w:themeFill="text2" w:themeFillShade="BF"/>
          </w:tcPr>
          <w:p w14:paraId="29E6391E"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500" w:type="dxa"/>
            <w:shd w:val="clear" w:color="auto" w:fill="17365D" w:themeFill="text2" w:themeFillShade="BF"/>
          </w:tcPr>
          <w:p w14:paraId="002A07E6"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A80540">
              <w:rPr>
                <w:rFonts w:ascii="Arial" w:hAnsi="Arial" w:cs="Arial"/>
                <w:b/>
                <w:bCs/>
                <w:color w:val="FFFFFF" w:themeColor="background1"/>
                <w:sz w:val="18"/>
                <w:szCs w:val="18"/>
              </w:rPr>
              <w:t>Lbs</w:t>
            </w:r>
            <w:proofErr w:type="spellEnd"/>
            <w:r w:rsidRPr="00A80540">
              <w:rPr>
                <w:rFonts w:ascii="Arial" w:hAnsi="Arial" w:cs="Arial"/>
                <w:b/>
                <w:bCs/>
                <w:color w:val="FFFFFF" w:themeColor="background1"/>
                <w:sz w:val="18"/>
                <w:szCs w:val="18"/>
              </w:rPr>
              <w:t xml:space="preserve"> vs. YA</w:t>
            </w:r>
          </w:p>
        </w:tc>
        <w:tc>
          <w:tcPr>
            <w:tcW w:w="1410" w:type="dxa"/>
            <w:shd w:val="clear" w:color="auto" w:fill="17365D" w:themeFill="text2" w:themeFillShade="BF"/>
          </w:tcPr>
          <w:p w14:paraId="5A8C9BC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290" w:type="dxa"/>
            <w:shd w:val="clear" w:color="auto" w:fill="17365D" w:themeFill="text2" w:themeFillShade="BF"/>
          </w:tcPr>
          <w:p w14:paraId="5F41C6D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40" w:type="dxa"/>
            <w:shd w:val="clear" w:color="auto" w:fill="17365D" w:themeFill="text2" w:themeFillShade="BF"/>
          </w:tcPr>
          <w:p w14:paraId="7976D962"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A80540">
              <w:rPr>
                <w:rFonts w:ascii="Arial" w:hAnsi="Arial" w:cs="Arial"/>
                <w:b/>
                <w:bCs/>
                <w:color w:val="FFFFFF" w:themeColor="background1"/>
                <w:sz w:val="18"/>
                <w:szCs w:val="18"/>
              </w:rPr>
              <w:t>Lbs</w:t>
            </w:r>
            <w:proofErr w:type="spellEnd"/>
            <w:r w:rsidRPr="00A80540">
              <w:rPr>
                <w:rFonts w:ascii="Arial" w:hAnsi="Arial" w:cs="Arial"/>
                <w:b/>
                <w:bCs/>
                <w:color w:val="FFFFFF" w:themeColor="background1"/>
                <w:sz w:val="18"/>
                <w:szCs w:val="18"/>
              </w:rPr>
              <w:t xml:space="preserve"> vs. YA</w:t>
            </w:r>
          </w:p>
        </w:tc>
      </w:tr>
      <w:tr w:rsidR="00103FB9" w:rsidRPr="00FA2F0F" w14:paraId="582E83F8" w14:textId="77777777" w:rsidTr="00103FB9">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0129673" w14:textId="53B62045" w:rsidR="00103FB9" w:rsidRPr="00103FB9" w:rsidRDefault="00103FB9" w:rsidP="00103FB9">
            <w:pPr>
              <w:pStyle w:val="NoSpacing"/>
              <w:rPr>
                <w:rFonts w:ascii="Arial" w:hAnsi="Arial" w:cs="Arial"/>
                <w:b w:val="0"/>
                <w:bCs w:val="0"/>
                <w:color w:val="000000" w:themeColor="text1"/>
                <w:sz w:val="18"/>
                <w:szCs w:val="18"/>
              </w:rPr>
            </w:pPr>
            <w:r w:rsidRPr="00103FB9">
              <w:rPr>
                <w:rFonts w:ascii="Arial" w:eastAsia="Times New Roman" w:hAnsi="Arial" w:cs="Arial"/>
                <w:b w:val="0"/>
                <w:color w:val="000000" w:themeColor="text1"/>
                <w:sz w:val="18"/>
                <w:szCs w:val="18"/>
              </w:rPr>
              <w:t>Frozen shrimp</w:t>
            </w:r>
          </w:p>
        </w:tc>
        <w:tc>
          <w:tcPr>
            <w:tcW w:w="1455" w:type="dxa"/>
            <w:vAlign w:val="center"/>
          </w:tcPr>
          <w:p w14:paraId="34226FF4" w14:textId="342D954B" w:rsidR="00103FB9" w:rsidRPr="00103FB9" w:rsidRDefault="00103FB9" w:rsidP="00103F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3FB9">
              <w:rPr>
                <w:rFonts w:ascii="Arial" w:hAnsi="Arial" w:cs="Arial"/>
                <w:color w:val="000000"/>
                <w:sz w:val="18"/>
                <w:szCs w:val="18"/>
              </w:rPr>
              <w:t>$283</w:t>
            </w:r>
            <w:r>
              <w:rPr>
                <w:rFonts w:ascii="Arial" w:hAnsi="Arial" w:cs="Arial"/>
                <w:color w:val="000000"/>
                <w:sz w:val="18"/>
                <w:szCs w:val="18"/>
              </w:rPr>
              <w:t>.8M</w:t>
            </w:r>
          </w:p>
        </w:tc>
        <w:tc>
          <w:tcPr>
            <w:tcW w:w="1455" w:type="dxa"/>
            <w:vAlign w:val="center"/>
          </w:tcPr>
          <w:p w14:paraId="282DA3A2" w14:textId="2D799BC9" w:rsidR="00103FB9" w:rsidRPr="00103FB9" w:rsidRDefault="00103FB9" w:rsidP="00103F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3FB9">
              <w:rPr>
                <w:rFonts w:ascii="Arial" w:hAnsi="Arial" w:cs="Arial"/>
                <w:color w:val="000000"/>
                <w:sz w:val="18"/>
                <w:szCs w:val="18"/>
              </w:rPr>
              <w:t>-2.0%</w:t>
            </w:r>
          </w:p>
        </w:tc>
        <w:tc>
          <w:tcPr>
            <w:tcW w:w="1500" w:type="dxa"/>
            <w:vAlign w:val="center"/>
          </w:tcPr>
          <w:p w14:paraId="79EB35F8" w14:textId="2D612476" w:rsidR="00103FB9" w:rsidRPr="00103FB9" w:rsidRDefault="00103FB9" w:rsidP="00103F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3FB9">
              <w:rPr>
                <w:rFonts w:ascii="Arial" w:hAnsi="Arial" w:cs="Arial"/>
                <w:color w:val="000000"/>
                <w:sz w:val="18"/>
                <w:szCs w:val="18"/>
              </w:rPr>
              <w:t>-13.0%</w:t>
            </w:r>
          </w:p>
        </w:tc>
        <w:tc>
          <w:tcPr>
            <w:tcW w:w="1410" w:type="dxa"/>
            <w:vAlign w:val="center"/>
          </w:tcPr>
          <w:p w14:paraId="59A2F10C" w14:textId="2698AD36" w:rsidR="00103FB9" w:rsidRPr="00103FB9" w:rsidRDefault="00103FB9" w:rsidP="00103F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3FB9">
              <w:rPr>
                <w:rFonts w:ascii="Arial" w:hAnsi="Arial" w:cs="Arial"/>
                <w:color w:val="000000"/>
                <w:sz w:val="18"/>
                <w:szCs w:val="18"/>
              </w:rPr>
              <w:t>$4</w:t>
            </w:r>
            <w:r>
              <w:rPr>
                <w:rFonts w:ascii="Arial" w:hAnsi="Arial" w:cs="Arial"/>
                <w:color w:val="000000"/>
                <w:sz w:val="18"/>
                <w:szCs w:val="18"/>
              </w:rPr>
              <w:t>.0B</w:t>
            </w:r>
          </w:p>
        </w:tc>
        <w:tc>
          <w:tcPr>
            <w:tcW w:w="1290" w:type="dxa"/>
            <w:vAlign w:val="center"/>
          </w:tcPr>
          <w:p w14:paraId="5B063ED0" w14:textId="5572D5EE" w:rsidR="00103FB9" w:rsidRPr="00103FB9" w:rsidRDefault="00103FB9" w:rsidP="00103F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3FB9">
              <w:rPr>
                <w:rFonts w:ascii="Arial" w:hAnsi="Arial" w:cs="Arial"/>
                <w:color w:val="000000"/>
                <w:sz w:val="18"/>
                <w:szCs w:val="18"/>
              </w:rPr>
              <w:t>-0.4%</w:t>
            </w:r>
          </w:p>
        </w:tc>
        <w:tc>
          <w:tcPr>
            <w:tcW w:w="1440" w:type="dxa"/>
            <w:vAlign w:val="center"/>
          </w:tcPr>
          <w:p w14:paraId="19A48928" w14:textId="66F9470A" w:rsidR="00103FB9" w:rsidRPr="00103FB9" w:rsidRDefault="00103FB9" w:rsidP="00103F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3FB9">
              <w:rPr>
                <w:rFonts w:ascii="Arial" w:hAnsi="Arial" w:cs="Arial"/>
                <w:color w:val="000000"/>
                <w:sz w:val="18"/>
                <w:szCs w:val="18"/>
              </w:rPr>
              <w:t>-2.9%</w:t>
            </w:r>
          </w:p>
        </w:tc>
      </w:tr>
      <w:tr w:rsidR="00103FB9" w:rsidRPr="00FA2F0F" w14:paraId="3C23A2D5" w14:textId="77777777" w:rsidTr="00103FB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0B89A307" w14:textId="74D3B502" w:rsidR="00103FB9" w:rsidRPr="00103FB9" w:rsidRDefault="00103FB9" w:rsidP="00103FB9">
            <w:pPr>
              <w:pStyle w:val="NoSpacing"/>
              <w:rPr>
                <w:rFonts w:ascii="Arial" w:hAnsi="Arial" w:cs="Arial"/>
                <w:b w:val="0"/>
                <w:bCs w:val="0"/>
                <w:color w:val="000000" w:themeColor="text1"/>
                <w:sz w:val="18"/>
                <w:szCs w:val="18"/>
              </w:rPr>
            </w:pPr>
            <w:r w:rsidRPr="00103FB9">
              <w:rPr>
                <w:rFonts w:ascii="Arial" w:eastAsia="Times New Roman" w:hAnsi="Arial" w:cs="Arial"/>
                <w:b w:val="0"/>
                <w:color w:val="000000" w:themeColor="text1"/>
                <w:sz w:val="18"/>
                <w:szCs w:val="18"/>
              </w:rPr>
              <w:t>Frozen salmon</w:t>
            </w:r>
          </w:p>
        </w:tc>
        <w:tc>
          <w:tcPr>
            <w:tcW w:w="1455" w:type="dxa"/>
            <w:vAlign w:val="center"/>
          </w:tcPr>
          <w:p w14:paraId="3A400688" w14:textId="32BEFB48" w:rsidR="00103FB9" w:rsidRPr="00103FB9" w:rsidRDefault="00103FB9" w:rsidP="00103F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03FB9">
              <w:rPr>
                <w:rFonts w:ascii="Arial" w:hAnsi="Arial" w:cs="Arial"/>
                <w:color w:val="000000"/>
                <w:sz w:val="18"/>
                <w:szCs w:val="18"/>
              </w:rPr>
              <w:t>$74</w:t>
            </w:r>
            <w:r>
              <w:rPr>
                <w:rFonts w:ascii="Arial" w:hAnsi="Arial" w:cs="Arial"/>
                <w:color w:val="000000"/>
                <w:sz w:val="18"/>
                <w:szCs w:val="18"/>
              </w:rPr>
              <w:t>.1M</w:t>
            </w:r>
          </w:p>
        </w:tc>
        <w:tc>
          <w:tcPr>
            <w:tcW w:w="1455" w:type="dxa"/>
            <w:vAlign w:val="center"/>
          </w:tcPr>
          <w:p w14:paraId="454751B8" w14:textId="211483F6" w:rsidR="00103FB9" w:rsidRPr="00103FB9" w:rsidRDefault="00103FB9" w:rsidP="00103F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03FB9">
              <w:rPr>
                <w:rFonts w:ascii="Arial" w:hAnsi="Arial" w:cs="Arial"/>
                <w:color w:val="000000"/>
                <w:sz w:val="18"/>
                <w:szCs w:val="18"/>
              </w:rPr>
              <w:t>10.7%</w:t>
            </w:r>
          </w:p>
        </w:tc>
        <w:tc>
          <w:tcPr>
            <w:tcW w:w="1500" w:type="dxa"/>
            <w:vAlign w:val="center"/>
          </w:tcPr>
          <w:p w14:paraId="5C16D02A" w14:textId="1E8FF03E" w:rsidR="00103FB9" w:rsidRPr="00103FB9" w:rsidRDefault="00103FB9" w:rsidP="00103F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03FB9">
              <w:rPr>
                <w:rFonts w:ascii="Arial" w:hAnsi="Arial" w:cs="Arial"/>
                <w:color w:val="000000"/>
                <w:sz w:val="18"/>
                <w:szCs w:val="18"/>
              </w:rPr>
              <w:t>4.6%</w:t>
            </w:r>
          </w:p>
        </w:tc>
        <w:tc>
          <w:tcPr>
            <w:tcW w:w="1410" w:type="dxa"/>
            <w:vAlign w:val="center"/>
          </w:tcPr>
          <w:p w14:paraId="221E222A" w14:textId="55E150FE" w:rsidR="00103FB9" w:rsidRPr="00103FB9" w:rsidRDefault="00103FB9" w:rsidP="00103F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03FB9">
              <w:rPr>
                <w:rFonts w:ascii="Arial" w:hAnsi="Arial" w:cs="Arial"/>
                <w:color w:val="000000"/>
                <w:sz w:val="18"/>
                <w:szCs w:val="18"/>
              </w:rPr>
              <w:t>$1</w:t>
            </w:r>
            <w:r>
              <w:rPr>
                <w:rFonts w:ascii="Arial" w:hAnsi="Arial" w:cs="Arial"/>
                <w:color w:val="000000"/>
                <w:sz w:val="18"/>
                <w:szCs w:val="18"/>
              </w:rPr>
              <w:t>.0B</w:t>
            </w:r>
          </w:p>
        </w:tc>
        <w:tc>
          <w:tcPr>
            <w:tcW w:w="1290" w:type="dxa"/>
            <w:vAlign w:val="center"/>
          </w:tcPr>
          <w:p w14:paraId="79116A6A" w14:textId="328E3A07" w:rsidR="00103FB9" w:rsidRPr="00103FB9" w:rsidRDefault="00103FB9" w:rsidP="00103F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03FB9">
              <w:rPr>
                <w:rFonts w:ascii="Arial" w:hAnsi="Arial" w:cs="Arial"/>
                <w:color w:val="000000"/>
                <w:sz w:val="18"/>
                <w:szCs w:val="18"/>
              </w:rPr>
              <w:t>5.3%</w:t>
            </w:r>
          </w:p>
        </w:tc>
        <w:tc>
          <w:tcPr>
            <w:tcW w:w="1440" w:type="dxa"/>
            <w:vAlign w:val="center"/>
          </w:tcPr>
          <w:p w14:paraId="2C2C5773" w14:textId="7DE40772" w:rsidR="00103FB9" w:rsidRPr="00103FB9" w:rsidRDefault="00103FB9" w:rsidP="00103F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03FB9">
              <w:rPr>
                <w:rFonts w:ascii="Arial" w:hAnsi="Arial" w:cs="Arial"/>
                <w:color w:val="000000"/>
                <w:sz w:val="18"/>
                <w:szCs w:val="18"/>
              </w:rPr>
              <w:t>3.8%</w:t>
            </w:r>
          </w:p>
        </w:tc>
      </w:tr>
      <w:tr w:rsidR="00103FB9" w:rsidRPr="00FA2F0F" w14:paraId="7756AE9F" w14:textId="77777777" w:rsidTr="00103FB9">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47E33A40" w14:textId="77777777" w:rsidR="00103FB9" w:rsidRPr="00103FB9" w:rsidRDefault="00103FB9" w:rsidP="00103FB9">
            <w:pPr>
              <w:pStyle w:val="NoSpacing"/>
              <w:rPr>
                <w:rFonts w:ascii="Arial" w:eastAsia="Times New Roman" w:hAnsi="Arial" w:cs="Arial"/>
                <w:color w:val="000000" w:themeColor="text1"/>
                <w:sz w:val="18"/>
                <w:szCs w:val="18"/>
              </w:rPr>
            </w:pPr>
            <w:r w:rsidRPr="00103FB9">
              <w:rPr>
                <w:rFonts w:ascii="Arial" w:eastAsia="Times New Roman" w:hAnsi="Arial" w:cs="Arial"/>
                <w:b w:val="0"/>
                <w:color w:val="000000" w:themeColor="text1"/>
                <w:sz w:val="18"/>
                <w:szCs w:val="18"/>
              </w:rPr>
              <w:t>Frozen pollock</w:t>
            </w:r>
          </w:p>
        </w:tc>
        <w:tc>
          <w:tcPr>
            <w:tcW w:w="1455" w:type="dxa"/>
            <w:vAlign w:val="center"/>
          </w:tcPr>
          <w:p w14:paraId="733E8BB4" w14:textId="41E74D48" w:rsidR="00103FB9" w:rsidRPr="00103FB9" w:rsidRDefault="00103FB9" w:rsidP="00103F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3FB9">
              <w:rPr>
                <w:rFonts w:ascii="Arial" w:hAnsi="Arial" w:cs="Arial"/>
                <w:color w:val="000000"/>
                <w:sz w:val="18"/>
                <w:szCs w:val="18"/>
              </w:rPr>
              <w:t>$41</w:t>
            </w:r>
            <w:r>
              <w:rPr>
                <w:rFonts w:ascii="Arial" w:hAnsi="Arial" w:cs="Arial"/>
                <w:color w:val="000000"/>
                <w:sz w:val="18"/>
                <w:szCs w:val="18"/>
              </w:rPr>
              <w:t>.2M</w:t>
            </w:r>
          </w:p>
        </w:tc>
        <w:tc>
          <w:tcPr>
            <w:tcW w:w="1455" w:type="dxa"/>
            <w:vAlign w:val="center"/>
          </w:tcPr>
          <w:p w14:paraId="41826C28" w14:textId="2B1738A1" w:rsidR="00103FB9" w:rsidRPr="00103FB9" w:rsidRDefault="00103FB9" w:rsidP="00103F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03FB9">
              <w:rPr>
                <w:rFonts w:ascii="Arial" w:hAnsi="Arial" w:cs="Arial"/>
                <w:color w:val="000000"/>
                <w:sz w:val="18"/>
                <w:szCs w:val="18"/>
              </w:rPr>
              <w:t>1.0%</w:t>
            </w:r>
          </w:p>
        </w:tc>
        <w:tc>
          <w:tcPr>
            <w:tcW w:w="1500" w:type="dxa"/>
            <w:vAlign w:val="center"/>
          </w:tcPr>
          <w:p w14:paraId="437C066F" w14:textId="130030B3" w:rsidR="00103FB9" w:rsidRPr="00103FB9" w:rsidRDefault="00103FB9" w:rsidP="00103F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03FB9">
              <w:rPr>
                <w:rFonts w:ascii="Arial" w:hAnsi="Arial" w:cs="Arial"/>
                <w:color w:val="000000"/>
                <w:sz w:val="18"/>
                <w:szCs w:val="18"/>
              </w:rPr>
              <w:t>2.1%</w:t>
            </w:r>
          </w:p>
        </w:tc>
        <w:tc>
          <w:tcPr>
            <w:tcW w:w="1410" w:type="dxa"/>
            <w:vAlign w:val="center"/>
          </w:tcPr>
          <w:p w14:paraId="080FAA3E" w14:textId="02CB6D80" w:rsidR="00103FB9" w:rsidRPr="00103FB9" w:rsidRDefault="00103FB9" w:rsidP="00103F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3FB9">
              <w:rPr>
                <w:rFonts w:ascii="Arial" w:hAnsi="Arial" w:cs="Arial"/>
                <w:color w:val="000000"/>
                <w:sz w:val="18"/>
                <w:szCs w:val="18"/>
              </w:rPr>
              <w:t>$627</w:t>
            </w:r>
            <w:r>
              <w:rPr>
                <w:rFonts w:ascii="Arial" w:hAnsi="Arial" w:cs="Arial"/>
                <w:color w:val="000000"/>
                <w:sz w:val="18"/>
                <w:szCs w:val="18"/>
              </w:rPr>
              <w:t>M</w:t>
            </w:r>
          </w:p>
        </w:tc>
        <w:tc>
          <w:tcPr>
            <w:tcW w:w="1290" w:type="dxa"/>
            <w:vAlign w:val="center"/>
          </w:tcPr>
          <w:p w14:paraId="5C02BECD" w14:textId="1554DB8A" w:rsidR="00103FB9" w:rsidRPr="00103FB9" w:rsidRDefault="00103FB9" w:rsidP="00103F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03FB9">
              <w:rPr>
                <w:rFonts w:ascii="Arial" w:hAnsi="Arial" w:cs="Arial"/>
                <w:color w:val="000000"/>
                <w:sz w:val="18"/>
                <w:szCs w:val="18"/>
              </w:rPr>
              <w:t>1.3%</w:t>
            </w:r>
          </w:p>
        </w:tc>
        <w:tc>
          <w:tcPr>
            <w:tcW w:w="1440" w:type="dxa"/>
            <w:vAlign w:val="center"/>
          </w:tcPr>
          <w:p w14:paraId="705E93BD" w14:textId="2FFE9FA5" w:rsidR="00103FB9" w:rsidRPr="00103FB9" w:rsidRDefault="00103FB9" w:rsidP="00103F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03FB9">
              <w:rPr>
                <w:rFonts w:ascii="Arial" w:hAnsi="Arial" w:cs="Arial"/>
                <w:color w:val="000000"/>
                <w:sz w:val="18"/>
                <w:szCs w:val="18"/>
              </w:rPr>
              <w:t>1.1%</w:t>
            </w:r>
          </w:p>
        </w:tc>
      </w:tr>
      <w:tr w:rsidR="00103FB9" w:rsidRPr="00FA2F0F" w14:paraId="21E073A7" w14:textId="77777777" w:rsidTr="00103FB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0AB08DCB" w14:textId="77777777" w:rsidR="00103FB9" w:rsidRPr="00103FB9" w:rsidRDefault="00103FB9" w:rsidP="00103FB9">
            <w:pPr>
              <w:pStyle w:val="NoSpacing"/>
              <w:rPr>
                <w:rFonts w:ascii="Arial" w:eastAsia="Times New Roman" w:hAnsi="Arial" w:cs="Arial"/>
                <w:color w:val="000000" w:themeColor="text1"/>
                <w:sz w:val="18"/>
                <w:szCs w:val="18"/>
              </w:rPr>
            </w:pPr>
            <w:r w:rsidRPr="00103FB9">
              <w:rPr>
                <w:rFonts w:ascii="Arial" w:eastAsia="Times New Roman" w:hAnsi="Arial" w:cs="Arial"/>
                <w:b w:val="0"/>
                <w:color w:val="000000" w:themeColor="text1"/>
                <w:sz w:val="18"/>
                <w:szCs w:val="18"/>
              </w:rPr>
              <w:t>Frozen tilapia</w:t>
            </w:r>
          </w:p>
        </w:tc>
        <w:tc>
          <w:tcPr>
            <w:tcW w:w="1455" w:type="dxa"/>
            <w:vAlign w:val="center"/>
          </w:tcPr>
          <w:p w14:paraId="323C572D" w14:textId="2C8B056D" w:rsidR="00103FB9" w:rsidRPr="00103FB9" w:rsidRDefault="00103FB9" w:rsidP="00103F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03FB9">
              <w:rPr>
                <w:rFonts w:ascii="Arial" w:hAnsi="Arial" w:cs="Arial"/>
                <w:color w:val="000000"/>
                <w:sz w:val="18"/>
                <w:szCs w:val="18"/>
              </w:rPr>
              <w:t>$36</w:t>
            </w:r>
            <w:r>
              <w:rPr>
                <w:rFonts w:ascii="Arial" w:hAnsi="Arial" w:cs="Arial"/>
                <w:color w:val="000000"/>
                <w:sz w:val="18"/>
                <w:szCs w:val="18"/>
              </w:rPr>
              <w:t>.2M</w:t>
            </w:r>
          </w:p>
        </w:tc>
        <w:tc>
          <w:tcPr>
            <w:tcW w:w="1455" w:type="dxa"/>
            <w:vAlign w:val="center"/>
          </w:tcPr>
          <w:p w14:paraId="4FE91630" w14:textId="34E43E2C" w:rsidR="00103FB9" w:rsidRPr="00103FB9" w:rsidRDefault="00103FB9" w:rsidP="00103F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03FB9">
              <w:rPr>
                <w:rFonts w:ascii="Arial" w:hAnsi="Arial" w:cs="Arial"/>
                <w:color w:val="000000"/>
                <w:sz w:val="18"/>
                <w:szCs w:val="18"/>
              </w:rPr>
              <w:t>6.5%</w:t>
            </w:r>
          </w:p>
        </w:tc>
        <w:tc>
          <w:tcPr>
            <w:tcW w:w="1500" w:type="dxa"/>
            <w:vAlign w:val="center"/>
          </w:tcPr>
          <w:p w14:paraId="3C051C29" w14:textId="09590305" w:rsidR="00103FB9" w:rsidRPr="00103FB9" w:rsidRDefault="00103FB9" w:rsidP="00103F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03FB9">
              <w:rPr>
                <w:rFonts w:ascii="Arial" w:hAnsi="Arial" w:cs="Arial"/>
                <w:color w:val="000000"/>
                <w:sz w:val="18"/>
                <w:szCs w:val="18"/>
              </w:rPr>
              <w:t>2.9%</w:t>
            </w:r>
          </w:p>
        </w:tc>
        <w:tc>
          <w:tcPr>
            <w:tcW w:w="1410" w:type="dxa"/>
            <w:vAlign w:val="center"/>
          </w:tcPr>
          <w:p w14:paraId="2B1619E0" w14:textId="40FAFD36" w:rsidR="00103FB9" w:rsidRPr="00103FB9" w:rsidRDefault="00103FB9" w:rsidP="00103F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03FB9">
              <w:rPr>
                <w:rFonts w:ascii="Arial" w:hAnsi="Arial" w:cs="Arial"/>
                <w:color w:val="000000"/>
                <w:sz w:val="18"/>
                <w:szCs w:val="18"/>
              </w:rPr>
              <w:t>$556</w:t>
            </w:r>
            <w:r>
              <w:rPr>
                <w:rFonts w:ascii="Arial" w:hAnsi="Arial" w:cs="Arial"/>
                <w:color w:val="000000"/>
                <w:sz w:val="18"/>
                <w:szCs w:val="18"/>
              </w:rPr>
              <w:t>M</w:t>
            </w:r>
          </w:p>
        </w:tc>
        <w:tc>
          <w:tcPr>
            <w:tcW w:w="1290" w:type="dxa"/>
            <w:vAlign w:val="center"/>
          </w:tcPr>
          <w:p w14:paraId="09EB7D12" w14:textId="7376EB10" w:rsidR="00103FB9" w:rsidRPr="00103FB9" w:rsidRDefault="00103FB9" w:rsidP="00103F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03FB9">
              <w:rPr>
                <w:rFonts w:ascii="Arial" w:hAnsi="Arial" w:cs="Arial"/>
                <w:color w:val="000000"/>
                <w:sz w:val="18"/>
                <w:szCs w:val="18"/>
              </w:rPr>
              <w:t>2.6%</w:t>
            </w:r>
          </w:p>
        </w:tc>
        <w:tc>
          <w:tcPr>
            <w:tcW w:w="1440" w:type="dxa"/>
            <w:vAlign w:val="center"/>
          </w:tcPr>
          <w:p w14:paraId="2A29D516" w14:textId="48CA0C21" w:rsidR="00103FB9" w:rsidRPr="00103FB9" w:rsidRDefault="00103FB9" w:rsidP="00103F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03FB9">
              <w:rPr>
                <w:rFonts w:ascii="Arial" w:hAnsi="Arial" w:cs="Arial"/>
                <w:color w:val="000000"/>
                <w:sz w:val="18"/>
                <w:szCs w:val="18"/>
              </w:rPr>
              <w:t>-1.6%</w:t>
            </w:r>
          </w:p>
        </w:tc>
      </w:tr>
      <w:tr w:rsidR="00103FB9" w:rsidRPr="00FA2F0F" w14:paraId="7CEF3C20" w14:textId="77777777" w:rsidTr="00103FB9">
        <w:trPr>
          <w:trHeight w:val="296"/>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9A9BC15" w14:textId="2EBF51EF" w:rsidR="00103FB9" w:rsidRPr="00103FB9" w:rsidRDefault="00103FB9" w:rsidP="00103FB9">
            <w:pPr>
              <w:pStyle w:val="NoSpacing"/>
              <w:rPr>
                <w:rFonts w:ascii="Arial" w:eastAsia="Times New Roman" w:hAnsi="Arial" w:cs="Arial"/>
                <w:color w:val="000000" w:themeColor="text1"/>
                <w:sz w:val="18"/>
                <w:szCs w:val="18"/>
              </w:rPr>
            </w:pPr>
            <w:r w:rsidRPr="00103FB9">
              <w:rPr>
                <w:rFonts w:ascii="Arial" w:eastAsia="Times New Roman" w:hAnsi="Arial" w:cs="Arial"/>
                <w:b w:val="0"/>
                <w:color w:val="000000" w:themeColor="text1"/>
                <w:sz w:val="18"/>
                <w:szCs w:val="18"/>
              </w:rPr>
              <w:t>Frozen crab</w:t>
            </w:r>
          </w:p>
        </w:tc>
        <w:tc>
          <w:tcPr>
            <w:tcW w:w="1455" w:type="dxa"/>
            <w:vAlign w:val="center"/>
          </w:tcPr>
          <w:p w14:paraId="1FA12974" w14:textId="5F1E1B91" w:rsidR="00103FB9" w:rsidRPr="00103FB9" w:rsidRDefault="00103FB9" w:rsidP="00103F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3FB9">
              <w:rPr>
                <w:rFonts w:ascii="Arial" w:hAnsi="Arial" w:cs="Arial"/>
                <w:color w:val="000000"/>
                <w:sz w:val="18"/>
                <w:szCs w:val="18"/>
              </w:rPr>
              <w:t>$22</w:t>
            </w:r>
            <w:r>
              <w:rPr>
                <w:rFonts w:ascii="Arial" w:hAnsi="Arial" w:cs="Arial"/>
                <w:color w:val="000000"/>
                <w:sz w:val="18"/>
                <w:szCs w:val="18"/>
              </w:rPr>
              <w:t>.4M</w:t>
            </w:r>
          </w:p>
        </w:tc>
        <w:tc>
          <w:tcPr>
            <w:tcW w:w="1455" w:type="dxa"/>
            <w:vAlign w:val="center"/>
          </w:tcPr>
          <w:p w14:paraId="04C006FC" w14:textId="3331F4FA" w:rsidR="00103FB9" w:rsidRPr="00103FB9" w:rsidRDefault="00103FB9" w:rsidP="00103F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03FB9">
              <w:rPr>
                <w:rFonts w:ascii="Arial" w:hAnsi="Arial" w:cs="Arial"/>
                <w:color w:val="000000"/>
                <w:sz w:val="18"/>
                <w:szCs w:val="18"/>
              </w:rPr>
              <w:t>4.3%</w:t>
            </w:r>
          </w:p>
        </w:tc>
        <w:tc>
          <w:tcPr>
            <w:tcW w:w="1500" w:type="dxa"/>
            <w:vAlign w:val="center"/>
          </w:tcPr>
          <w:p w14:paraId="55D89BBB" w14:textId="18D8D226" w:rsidR="00103FB9" w:rsidRPr="00103FB9" w:rsidRDefault="00103FB9" w:rsidP="00103F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3FB9">
              <w:rPr>
                <w:rFonts w:ascii="Arial" w:hAnsi="Arial" w:cs="Arial"/>
                <w:color w:val="000000"/>
                <w:sz w:val="18"/>
                <w:szCs w:val="18"/>
              </w:rPr>
              <w:t>-1.4%</w:t>
            </w:r>
          </w:p>
        </w:tc>
        <w:tc>
          <w:tcPr>
            <w:tcW w:w="1410" w:type="dxa"/>
            <w:vAlign w:val="center"/>
          </w:tcPr>
          <w:p w14:paraId="02224226" w14:textId="5FD2BC4A" w:rsidR="00103FB9" w:rsidRPr="00103FB9" w:rsidRDefault="00103FB9" w:rsidP="00103F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3FB9">
              <w:rPr>
                <w:rFonts w:ascii="Arial" w:hAnsi="Arial" w:cs="Arial"/>
                <w:color w:val="000000"/>
                <w:sz w:val="18"/>
                <w:szCs w:val="18"/>
              </w:rPr>
              <w:t>$31</w:t>
            </w:r>
            <w:r>
              <w:rPr>
                <w:rFonts w:ascii="Arial" w:hAnsi="Arial" w:cs="Arial"/>
                <w:color w:val="000000"/>
                <w:sz w:val="18"/>
                <w:szCs w:val="18"/>
              </w:rPr>
              <w:t>5M</w:t>
            </w:r>
          </w:p>
        </w:tc>
        <w:tc>
          <w:tcPr>
            <w:tcW w:w="1290" w:type="dxa"/>
            <w:vAlign w:val="center"/>
          </w:tcPr>
          <w:p w14:paraId="77504BA5" w14:textId="3424ABEA" w:rsidR="00103FB9" w:rsidRPr="00103FB9" w:rsidRDefault="00103FB9" w:rsidP="00103F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103FB9">
              <w:rPr>
                <w:rFonts w:ascii="Arial" w:hAnsi="Arial" w:cs="Arial"/>
                <w:color w:val="000000"/>
                <w:sz w:val="18"/>
                <w:szCs w:val="18"/>
              </w:rPr>
              <w:t>2.1%</w:t>
            </w:r>
          </w:p>
        </w:tc>
        <w:tc>
          <w:tcPr>
            <w:tcW w:w="1440" w:type="dxa"/>
            <w:vAlign w:val="center"/>
          </w:tcPr>
          <w:p w14:paraId="5E7300B6" w14:textId="5BC3107C" w:rsidR="00103FB9" w:rsidRPr="00103FB9" w:rsidRDefault="00103FB9" w:rsidP="00103F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03FB9">
              <w:rPr>
                <w:rFonts w:ascii="Arial" w:hAnsi="Arial" w:cs="Arial"/>
                <w:color w:val="000000"/>
                <w:sz w:val="18"/>
                <w:szCs w:val="18"/>
              </w:rPr>
              <w:t>-10.3%</w:t>
            </w:r>
          </w:p>
        </w:tc>
      </w:tr>
    </w:tbl>
    <w:p w14:paraId="3FAE2AB0" w14:textId="69C124AC" w:rsidR="008E4D24" w:rsidRDefault="008E4D24" w:rsidP="000253BE">
      <w:pPr>
        <w:pStyle w:val="NoSpacing"/>
        <w:rPr>
          <w:rFonts w:ascii="Arial" w:hAnsi="Arial" w:cs="Arial"/>
          <w:b/>
          <w:color w:val="595959" w:themeColor="text1" w:themeTint="A6"/>
          <w:sz w:val="24"/>
          <w:szCs w:val="24"/>
        </w:rPr>
      </w:pPr>
      <w:bookmarkStart w:id="7" w:name="_Hlk121583547"/>
      <w:bookmarkStart w:id="8" w:name="_Hlk116291245"/>
    </w:p>
    <w:p w14:paraId="194F475B" w14:textId="77777777" w:rsidR="00FF2D5F" w:rsidRDefault="00FF2D5F" w:rsidP="000253BE">
      <w:pPr>
        <w:pStyle w:val="NoSpacing"/>
        <w:rPr>
          <w:rFonts w:ascii="Arial" w:hAnsi="Arial" w:cs="Arial"/>
          <w:b/>
          <w:color w:val="595959" w:themeColor="text1" w:themeTint="A6"/>
          <w:sz w:val="24"/>
          <w:szCs w:val="24"/>
        </w:rPr>
      </w:pPr>
    </w:p>
    <w:p w14:paraId="75CFE316" w14:textId="71234FAB" w:rsidR="00CD29D9" w:rsidRPr="00FA6FAE" w:rsidRDefault="00CD29D9" w:rsidP="00CD29D9">
      <w:pPr>
        <w:pStyle w:val="NoSpacing"/>
        <w:rPr>
          <w:rFonts w:ascii="Arial" w:hAnsi="Arial" w:cs="Arial"/>
          <w:b/>
          <w:bCs/>
          <w:color w:val="00857C"/>
          <w:sz w:val="24"/>
          <w:szCs w:val="24"/>
        </w:rPr>
      </w:pPr>
      <w:bookmarkStart w:id="9" w:name="_Hlk118920915"/>
      <w:bookmarkStart w:id="10" w:name="_Hlk127026660"/>
      <w:bookmarkEnd w:id="7"/>
      <w:bookmarkEnd w:id="8"/>
      <w:r w:rsidRPr="00FA6FAE">
        <w:rPr>
          <w:rFonts w:ascii="Arial" w:hAnsi="Arial" w:cs="Arial"/>
          <w:b/>
          <w:bCs/>
          <w:color w:val="00857C"/>
          <w:sz w:val="24"/>
          <w:szCs w:val="24"/>
        </w:rPr>
        <w:t>What’s Next?</w:t>
      </w:r>
    </w:p>
    <w:bookmarkEnd w:id="9"/>
    <w:bookmarkEnd w:id="10"/>
    <w:p w14:paraId="1819FB1F" w14:textId="77777777" w:rsidR="00103FB9" w:rsidRDefault="00103FB9" w:rsidP="00103FB9">
      <w:pPr>
        <w:pStyle w:val="ListParagraph"/>
        <w:numPr>
          <w:ilvl w:val="0"/>
          <w:numId w:val="20"/>
        </w:numPr>
        <w:spacing w:line="278" w:lineRule="auto"/>
        <w:rPr>
          <w:rFonts w:ascii="Arial" w:hAnsi="Arial" w:cs="Arial"/>
          <w:sz w:val="20"/>
          <w:szCs w:val="20"/>
        </w:rPr>
      </w:pPr>
      <w:r w:rsidRPr="008172E5">
        <w:rPr>
          <w:rFonts w:ascii="Arial" w:hAnsi="Arial" w:cs="Arial"/>
          <w:sz w:val="20"/>
          <w:szCs w:val="20"/>
        </w:rPr>
        <w:t>2026 marks the beginning of a transition toward Gen X and Millennial economic dominance after decades of a Boomer-led marketplace. Though Gen X is the smallest generation, its household size and income levels make it a high-value consumer group across many categories.</w:t>
      </w:r>
    </w:p>
    <w:p w14:paraId="37C39AD8" w14:textId="77777777" w:rsidR="00103FB9" w:rsidRDefault="00103FB9" w:rsidP="00103FB9">
      <w:pPr>
        <w:pStyle w:val="ListParagraph"/>
        <w:numPr>
          <w:ilvl w:val="0"/>
          <w:numId w:val="20"/>
        </w:numPr>
        <w:spacing w:line="278" w:lineRule="auto"/>
        <w:rPr>
          <w:rFonts w:ascii="Arial" w:hAnsi="Arial" w:cs="Arial"/>
          <w:sz w:val="20"/>
          <w:szCs w:val="20"/>
        </w:rPr>
      </w:pPr>
      <w:proofErr w:type="spellStart"/>
      <w:r w:rsidRPr="008172E5">
        <w:rPr>
          <w:rFonts w:ascii="Arial" w:hAnsi="Arial" w:cs="Arial"/>
          <w:sz w:val="20"/>
          <w:szCs w:val="20"/>
        </w:rPr>
        <w:t>Circana</w:t>
      </w:r>
      <w:proofErr w:type="spellEnd"/>
      <w:r w:rsidRPr="008172E5">
        <w:rPr>
          <w:rFonts w:ascii="Arial" w:hAnsi="Arial" w:cs="Arial"/>
          <w:sz w:val="20"/>
          <w:szCs w:val="20"/>
        </w:rPr>
        <w:t xml:space="preserve"> research shows GLP-1 medication use is likely to continue rising through the end of the decade. Individuals using GLP-1 medications now account for an estimated 10%</w:t>
      </w:r>
      <w:r>
        <w:rPr>
          <w:rFonts w:ascii="Arial" w:hAnsi="Arial" w:cs="Arial"/>
          <w:sz w:val="20"/>
          <w:szCs w:val="20"/>
        </w:rPr>
        <w:t>-</w:t>
      </w:r>
      <w:r w:rsidRPr="008172E5">
        <w:rPr>
          <w:rFonts w:ascii="Arial" w:hAnsi="Arial" w:cs="Arial"/>
          <w:sz w:val="20"/>
          <w:szCs w:val="20"/>
        </w:rPr>
        <w:t>14% of the population, with new patient prescriptions up 16%</w:t>
      </w:r>
      <w:r>
        <w:rPr>
          <w:rFonts w:ascii="Arial" w:hAnsi="Arial" w:cs="Arial"/>
          <w:sz w:val="20"/>
          <w:szCs w:val="20"/>
        </w:rPr>
        <w:t xml:space="preserve">, which is </w:t>
      </w:r>
      <w:r w:rsidRPr="008172E5">
        <w:rPr>
          <w:rFonts w:ascii="Arial" w:hAnsi="Arial" w:cs="Arial"/>
          <w:sz w:val="20"/>
          <w:szCs w:val="20"/>
        </w:rPr>
        <w:t xml:space="preserve">an additional 2.9 million scripts. </w:t>
      </w:r>
    </w:p>
    <w:p w14:paraId="66182E5A" w14:textId="77777777" w:rsidR="00103FB9" w:rsidRDefault="00103FB9" w:rsidP="00103FB9">
      <w:pPr>
        <w:pStyle w:val="ListParagraph"/>
        <w:numPr>
          <w:ilvl w:val="0"/>
          <w:numId w:val="20"/>
        </w:numPr>
        <w:spacing w:line="278" w:lineRule="auto"/>
        <w:rPr>
          <w:rFonts w:ascii="Arial" w:hAnsi="Arial" w:cs="Arial"/>
          <w:sz w:val="20"/>
          <w:szCs w:val="20"/>
        </w:rPr>
      </w:pPr>
      <w:r w:rsidRPr="008172E5">
        <w:rPr>
          <w:rFonts w:ascii="Arial" w:hAnsi="Arial" w:cs="Arial"/>
          <w:sz w:val="20"/>
          <w:szCs w:val="20"/>
        </w:rPr>
        <w:t>Weight management remains the top health goal, rising 42 points over last year. Users are more likely to be Gen X and higher-income households.</w:t>
      </w:r>
    </w:p>
    <w:p w14:paraId="48B72363" w14:textId="36E9BD56" w:rsidR="00103FB9" w:rsidRDefault="00103FB9" w:rsidP="00103FB9">
      <w:pPr>
        <w:pStyle w:val="ListParagraph"/>
        <w:numPr>
          <w:ilvl w:val="0"/>
          <w:numId w:val="20"/>
        </w:numPr>
        <w:spacing w:line="278" w:lineRule="auto"/>
        <w:rPr>
          <w:rFonts w:ascii="Arial" w:hAnsi="Arial" w:cs="Arial"/>
          <w:sz w:val="20"/>
          <w:szCs w:val="20"/>
        </w:rPr>
      </w:pPr>
      <w:r w:rsidRPr="008172E5">
        <w:rPr>
          <w:rFonts w:ascii="Arial" w:hAnsi="Arial" w:cs="Arial"/>
          <w:sz w:val="20"/>
          <w:szCs w:val="20"/>
        </w:rPr>
        <w:t xml:space="preserve">GLP-1 users focus more on products higher in protein, fiber and healthy fats, while </w:t>
      </w:r>
      <w:r>
        <w:rPr>
          <w:rFonts w:ascii="Arial" w:hAnsi="Arial" w:cs="Arial"/>
          <w:sz w:val="20"/>
          <w:szCs w:val="20"/>
        </w:rPr>
        <w:t xml:space="preserve">reducing </w:t>
      </w:r>
      <w:r w:rsidRPr="008172E5">
        <w:rPr>
          <w:rFonts w:ascii="Arial" w:hAnsi="Arial" w:cs="Arial"/>
          <w:sz w:val="20"/>
          <w:szCs w:val="20"/>
        </w:rPr>
        <w:t>purchases of items high in carbohydrates and sugar</w:t>
      </w:r>
      <w:r>
        <w:rPr>
          <w:rFonts w:ascii="Arial" w:hAnsi="Arial" w:cs="Arial"/>
          <w:sz w:val="20"/>
          <w:szCs w:val="20"/>
        </w:rPr>
        <w:t xml:space="preserve"> — which is the seafood sweet spot</w:t>
      </w:r>
      <w:r w:rsidRPr="008172E5">
        <w:rPr>
          <w:rFonts w:ascii="Arial" w:hAnsi="Arial" w:cs="Arial"/>
          <w:sz w:val="20"/>
          <w:szCs w:val="20"/>
        </w:rPr>
        <w:t>. Despite shifts in category mix, overall CPG spending among GLP-1 users continues to outpace that of non-users.</w:t>
      </w:r>
    </w:p>
    <w:p w14:paraId="34D56DFF" w14:textId="77777777" w:rsidR="00103FB9" w:rsidRPr="008172E5" w:rsidRDefault="00103FB9" w:rsidP="00103FB9">
      <w:pPr>
        <w:pStyle w:val="ListParagraph"/>
        <w:numPr>
          <w:ilvl w:val="0"/>
          <w:numId w:val="20"/>
        </w:numPr>
        <w:spacing w:line="278" w:lineRule="auto"/>
        <w:rPr>
          <w:rFonts w:ascii="Arial" w:hAnsi="Arial" w:cs="Arial"/>
          <w:sz w:val="20"/>
          <w:szCs w:val="20"/>
        </w:rPr>
      </w:pPr>
      <w:r w:rsidRPr="008172E5">
        <w:rPr>
          <w:rFonts w:ascii="Arial" w:hAnsi="Arial" w:cs="Arial"/>
          <w:sz w:val="20"/>
          <w:szCs w:val="20"/>
        </w:rPr>
        <w:t>As consumers move in and out of active GLP-1 use, many are sustaining the healthier behaviors they adopted, while others revert to pre-medication habits. Maintaining clarity on these diverging behavioral paths will be important for anticipating long-term demand patterns.</w:t>
      </w:r>
    </w:p>
    <w:p w14:paraId="1F565F1B" w14:textId="63B7DBE0" w:rsidR="00711273" w:rsidRDefault="00711273" w:rsidP="00637392">
      <w:pPr>
        <w:pStyle w:val="NoSpacing"/>
        <w:rPr>
          <w:rFonts w:ascii="Arial" w:hAnsi="Arial" w:cs="Arial"/>
          <w:b/>
          <w:sz w:val="20"/>
          <w:szCs w:val="20"/>
        </w:rPr>
      </w:pPr>
    </w:p>
    <w:p w14:paraId="1F7B132B" w14:textId="77777777" w:rsidR="00711273" w:rsidRDefault="00711273" w:rsidP="00637392">
      <w:pPr>
        <w:pStyle w:val="NoSpacing"/>
        <w:rPr>
          <w:rFonts w:ascii="Arial" w:hAnsi="Arial" w:cs="Arial"/>
          <w:b/>
          <w:sz w:val="20"/>
          <w:szCs w:val="20"/>
        </w:rPr>
        <w:sectPr w:rsidR="00711273" w:rsidSect="00EE3028">
          <w:headerReference w:type="default" r:id="rId11"/>
          <w:footerReference w:type="default" r:id="rId12"/>
          <w:type w:val="continuous"/>
          <w:pgSz w:w="12240" w:h="15840"/>
          <w:pgMar w:top="1135" w:right="758" w:bottom="810" w:left="851" w:header="708" w:footer="327" w:gutter="0"/>
          <w:cols w:space="708"/>
          <w:docGrid w:linePitch="360"/>
        </w:sectPr>
      </w:pPr>
    </w:p>
    <w:p w14:paraId="0AC9AE24" w14:textId="77777777" w:rsidR="00BA6703" w:rsidRDefault="00BA6703" w:rsidP="00BA6703">
      <w:pPr>
        <w:pStyle w:val="NoSpacing"/>
        <w:rPr>
          <w:rFonts w:ascii="Arial" w:hAnsi="Arial" w:cs="Arial"/>
          <w:b/>
          <w:sz w:val="20"/>
          <w:szCs w:val="20"/>
        </w:rPr>
      </w:pPr>
      <w:r>
        <w:rPr>
          <w:rFonts w:ascii="Arial" w:hAnsi="Arial" w:cs="Arial"/>
          <w:b/>
          <w:sz w:val="20"/>
          <w:szCs w:val="20"/>
        </w:rPr>
        <w:t xml:space="preserve">Date ranges: </w:t>
      </w:r>
    </w:p>
    <w:p w14:paraId="762A573E" w14:textId="77777777" w:rsidR="00BA6703" w:rsidRDefault="00BA6703" w:rsidP="00BA6703">
      <w:pPr>
        <w:pStyle w:val="NoSpacing"/>
        <w:rPr>
          <w:rFonts w:ascii="Arial" w:hAnsi="Arial" w:cs="Arial"/>
          <w:sz w:val="20"/>
          <w:szCs w:val="20"/>
        </w:rPr>
        <w:sectPr w:rsidR="00BA6703" w:rsidSect="00BA6703">
          <w:type w:val="continuous"/>
          <w:pgSz w:w="12240" w:h="15840"/>
          <w:pgMar w:top="1135" w:right="758" w:bottom="810" w:left="851" w:header="708" w:footer="588" w:gutter="0"/>
          <w:cols w:num="2" w:space="708"/>
          <w:docGrid w:linePitch="360"/>
        </w:sectPr>
      </w:pPr>
    </w:p>
    <w:p w14:paraId="23F69BC6" w14:textId="032369A5" w:rsidR="00052FAF" w:rsidRDefault="00052FAF" w:rsidP="00BA6703">
      <w:pPr>
        <w:pStyle w:val="NoSpacing"/>
        <w:rPr>
          <w:rFonts w:ascii="Arial" w:hAnsi="Arial" w:cs="Arial"/>
          <w:sz w:val="20"/>
          <w:szCs w:val="20"/>
        </w:rPr>
      </w:pPr>
      <w:r>
        <w:rPr>
          <w:rFonts w:ascii="Arial" w:hAnsi="Arial" w:cs="Arial"/>
          <w:sz w:val="20"/>
          <w:szCs w:val="20"/>
        </w:rPr>
        <w:t>Q3 2025: 13 weeks ending 9/28/2025</w:t>
      </w:r>
    </w:p>
    <w:p w14:paraId="328D51F3" w14:textId="55C66B2D" w:rsidR="00BA6703" w:rsidRDefault="00103FB9" w:rsidP="00BA6703">
      <w:pPr>
        <w:pStyle w:val="NoSpacing"/>
        <w:rPr>
          <w:rFonts w:ascii="Arial" w:hAnsi="Arial" w:cs="Arial"/>
          <w:sz w:val="20"/>
          <w:szCs w:val="20"/>
        </w:rPr>
      </w:pPr>
      <w:r>
        <w:rPr>
          <w:rFonts w:ascii="Arial" w:hAnsi="Arial" w:cs="Arial"/>
          <w:sz w:val="20"/>
          <w:szCs w:val="20"/>
        </w:rPr>
        <w:t xml:space="preserve">November </w:t>
      </w:r>
      <w:r w:rsidR="00CD7E54">
        <w:rPr>
          <w:rFonts w:ascii="Arial" w:hAnsi="Arial" w:cs="Arial"/>
          <w:sz w:val="20"/>
          <w:szCs w:val="20"/>
        </w:rPr>
        <w:t>2025</w:t>
      </w:r>
      <w:r w:rsidR="00B43838">
        <w:rPr>
          <w:rFonts w:ascii="Arial" w:hAnsi="Arial" w:cs="Arial"/>
          <w:sz w:val="20"/>
          <w:szCs w:val="20"/>
        </w:rPr>
        <w:t xml:space="preserve">: </w:t>
      </w:r>
      <w:r>
        <w:rPr>
          <w:rFonts w:ascii="Arial" w:hAnsi="Arial" w:cs="Arial"/>
          <w:sz w:val="20"/>
          <w:szCs w:val="20"/>
        </w:rPr>
        <w:t xml:space="preserve">4 </w:t>
      </w:r>
      <w:r w:rsidR="00046AD4">
        <w:rPr>
          <w:rFonts w:ascii="Arial" w:hAnsi="Arial" w:cs="Arial"/>
          <w:sz w:val="20"/>
          <w:szCs w:val="20"/>
        </w:rPr>
        <w:t xml:space="preserve">weeks ending </w:t>
      </w:r>
      <w:r>
        <w:rPr>
          <w:rFonts w:ascii="Arial" w:hAnsi="Arial" w:cs="Arial"/>
          <w:sz w:val="20"/>
          <w:szCs w:val="20"/>
        </w:rPr>
        <w:t>11</w:t>
      </w:r>
      <w:r w:rsidR="00B43838">
        <w:rPr>
          <w:rFonts w:ascii="Arial" w:hAnsi="Arial" w:cs="Arial"/>
          <w:sz w:val="20"/>
          <w:szCs w:val="20"/>
        </w:rPr>
        <w:t>/</w:t>
      </w:r>
      <w:r>
        <w:rPr>
          <w:rFonts w:ascii="Arial" w:hAnsi="Arial" w:cs="Arial"/>
          <w:sz w:val="20"/>
          <w:szCs w:val="20"/>
        </w:rPr>
        <w:t>30</w:t>
      </w:r>
      <w:r w:rsidR="00A357C9">
        <w:rPr>
          <w:rFonts w:ascii="Arial" w:hAnsi="Arial" w:cs="Arial"/>
          <w:sz w:val="20"/>
          <w:szCs w:val="20"/>
        </w:rPr>
        <w:t>/</w:t>
      </w:r>
      <w:r w:rsidR="00046AD4">
        <w:rPr>
          <w:rFonts w:ascii="Arial" w:hAnsi="Arial" w:cs="Arial"/>
          <w:sz w:val="20"/>
          <w:szCs w:val="20"/>
        </w:rPr>
        <w:t>2025</w:t>
      </w:r>
    </w:p>
    <w:p w14:paraId="11C367A6" w14:textId="77777777" w:rsidR="003C39AB" w:rsidRDefault="003C39AB" w:rsidP="00BA6703">
      <w:pPr>
        <w:pStyle w:val="NoSpacing"/>
        <w:rPr>
          <w:rFonts w:ascii="Arial" w:hAnsi="Arial" w:cs="Arial"/>
          <w:sz w:val="20"/>
          <w:szCs w:val="20"/>
        </w:rPr>
      </w:pPr>
    </w:p>
    <w:p w14:paraId="0D0B6B73" w14:textId="77777777" w:rsidR="003C39AB" w:rsidRPr="00B73FEA" w:rsidRDefault="003C39AB" w:rsidP="003C39AB">
      <w:pPr>
        <w:pStyle w:val="NoSpacing"/>
        <w:rPr>
          <w:rFonts w:ascii="Arial" w:hAnsi="Arial" w:cs="Arial"/>
          <w:sz w:val="20"/>
          <w:szCs w:val="20"/>
        </w:rPr>
      </w:pPr>
      <w:r w:rsidRPr="00B73FEA">
        <w:rPr>
          <w:rFonts w:ascii="Arial" w:hAnsi="Arial" w:cs="Arial"/>
          <w:b/>
          <w:bCs/>
          <w:sz w:val="20"/>
          <w:szCs w:val="20"/>
        </w:rPr>
        <w:t>About MSD Animal Health</w:t>
      </w:r>
      <w:r w:rsidRPr="00B73FEA">
        <w:rPr>
          <w:rFonts w:ascii="Arial" w:hAnsi="Arial" w:cs="Arial"/>
          <w:sz w:val="20"/>
          <w:szCs w:val="20"/>
        </w:rPr>
        <w:t> </w:t>
      </w:r>
    </w:p>
    <w:p w14:paraId="0A25D06E" w14:textId="77777777" w:rsidR="003C39AB" w:rsidRPr="00B73FEA" w:rsidRDefault="003C39AB" w:rsidP="003C39AB">
      <w:pPr>
        <w:pStyle w:val="NoSpacing"/>
        <w:rPr>
          <w:rFonts w:ascii="Arial" w:hAnsi="Arial" w:cs="Arial"/>
          <w:sz w:val="20"/>
          <w:szCs w:val="20"/>
        </w:rPr>
      </w:pPr>
      <w:r w:rsidRPr="00B73FEA">
        <w:rPr>
          <w:rFonts w:ascii="Arial" w:hAnsi="Arial" w:cs="Arial"/>
          <w:sz w:val="20"/>
          <w:szCs w:val="20"/>
        </w:rPr>
        <w:t>At MSD, known as Merck &amp; Co., Inc., Rahway, N.J., USA in the United States and Canada, we are unified around our purpose: We use the power of leading-edge science to save and improve lives around the world. For more than a century, we’ve been at the forefront of research, bringing forward medicines, vaccines and innovative health solutions for the world’s most challenging diseases. MSD Animal Health, a division of Merck &amp; Co., Inc., Rahway, N.J., USA, is the global animal health business of MSD. Through its commitment to The Science of Healthier Animals</w:t>
      </w:r>
      <w:r w:rsidRPr="00B73FEA">
        <w:rPr>
          <w:rFonts w:ascii="Arial" w:hAnsi="Arial" w:cs="Arial"/>
          <w:i/>
          <w:iCs/>
          <w:sz w:val="20"/>
          <w:szCs w:val="20"/>
        </w:rPr>
        <w:t>®</w:t>
      </w:r>
      <w:r w:rsidRPr="00B73FEA">
        <w:rPr>
          <w:rFonts w:ascii="Arial" w:hAnsi="Arial" w:cs="Arial"/>
          <w:sz w:val="20"/>
          <w:szCs w:val="20"/>
        </w:rPr>
        <w:t xml:space="preserve">, MSD Animal Health offers veterinarians, farmers, producers, pet owners and governments one of the widest ranges of veterinary pharmaceuticals, vaccines and health management solutions and services as well as an extensive suite of connected technology that includes identification, traceability and monitoring products. MSD Animal Health is dedicated to preserving and improving the health, well-being and performance of animals and the people who care for them. It invests extensively in dynamic and comprehensive R&amp;D resources and a modern, global supply chain. MSD Animal Health is present in more than 50 countries, while its products are available in some 150 markets. For more information, visit </w:t>
      </w:r>
      <w:hyperlink r:id="rId13" w:tgtFrame="_blank" w:tooltip="http://www.msd-animal-health.com/" w:history="1">
        <w:r w:rsidRPr="00B73FEA">
          <w:rPr>
            <w:rStyle w:val="Hyperlink"/>
            <w:rFonts w:ascii="Arial" w:hAnsi="Arial" w:cs="Arial"/>
            <w:sz w:val="20"/>
            <w:szCs w:val="20"/>
          </w:rPr>
          <w:t>www.msd-animal-health.com</w:t>
        </w:r>
      </w:hyperlink>
      <w:r w:rsidRPr="00B73FEA">
        <w:rPr>
          <w:rFonts w:ascii="Arial" w:hAnsi="Arial" w:cs="Arial"/>
          <w:sz w:val="20"/>
          <w:szCs w:val="20"/>
        </w:rPr>
        <w:t xml:space="preserve"> and connect with us on </w:t>
      </w:r>
      <w:hyperlink r:id="rId14" w:tgtFrame="_blank" w:tooltip="https://www.linkedin.com/showcase/msd-animal-health" w:history="1">
        <w:r w:rsidRPr="00B73FEA">
          <w:rPr>
            <w:rStyle w:val="Hyperlink"/>
            <w:rFonts w:ascii="Arial" w:hAnsi="Arial" w:cs="Arial"/>
            <w:sz w:val="20"/>
            <w:szCs w:val="20"/>
          </w:rPr>
          <w:t>LinkedIn</w:t>
        </w:r>
      </w:hyperlink>
      <w:r w:rsidRPr="00B73FEA">
        <w:rPr>
          <w:rFonts w:ascii="Arial" w:hAnsi="Arial" w:cs="Arial"/>
          <w:sz w:val="20"/>
          <w:szCs w:val="20"/>
        </w:rPr>
        <w:t xml:space="preserve"> and </w:t>
      </w:r>
      <w:hyperlink r:id="rId15" w:tgtFrame="_blank" w:tooltip="https://twitter.com/msdanimalhealth" w:history="1">
        <w:r w:rsidRPr="00B73FEA">
          <w:rPr>
            <w:rStyle w:val="Hyperlink"/>
            <w:rFonts w:ascii="Arial" w:hAnsi="Arial" w:cs="Arial"/>
            <w:sz w:val="20"/>
            <w:szCs w:val="20"/>
          </w:rPr>
          <w:t>X (formerly Twitter)</w:t>
        </w:r>
      </w:hyperlink>
      <w:r w:rsidRPr="00B73FEA">
        <w:rPr>
          <w:rFonts w:ascii="Arial" w:hAnsi="Arial" w:cs="Arial"/>
          <w:sz w:val="20"/>
          <w:szCs w:val="20"/>
        </w:rPr>
        <w:t>.</w:t>
      </w:r>
    </w:p>
    <w:p w14:paraId="728D9C95" w14:textId="443D7FCC" w:rsidR="00BA6703" w:rsidRPr="00B73FEA" w:rsidRDefault="00BA6703" w:rsidP="00BA6703">
      <w:pPr>
        <w:pStyle w:val="NoSpacing"/>
        <w:rPr>
          <w:rFonts w:ascii="Arial" w:hAnsi="Arial" w:cs="Arial"/>
          <w:sz w:val="20"/>
          <w:szCs w:val="20"/>
        </w:rPr>
      </w:pPr>
    </w:p>
    <w:sectPr w:rsidR="00BA6703" w:rsidRPr="00B73FEA" w:rsidSect="00020EF9">
      <w:headerReference w:type="default" r:id="rId16"/>
      <w:footerReference w:type="default" r:id="rId17"/>
      <w:type w:val="continuous"/>
      <w:pgSz w:w="12240" w:h="15840"/>
      <w:pgMar w:top="1135" w:right="758" w:bottom="810" w:left="851"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5E6F7" w14:textId="77777777" w:rsidR="00A46E23" w:rsidRDefault="00A46E23" w:rsidP="005C6A11">
      <w:pPr>
        <w:spacing w:after="0" w:line="240" w:lineRule="auto"/>
      </w:pPr>
      <w:r>
        <w:separator/>
      </w:r>
    </w:p>
  </w:endnote>
  <w:endnote w:type="continuationSeparator" w:id="0">
    <w:p w14:paraId="3909A888" w14:textId="77777777" w:rsidR="00A46E23" w:rsidRDefault="00A46E23" w:rsidP="005C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E90E" w14:textId="191CB125" w:rsidR="00052FAF" w:rsidRPr="001C4C48" w:rsidRDefault="00052FAF"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81792" behindDoc="0" locked="0" layoutInCell="1" allowOverlap="1" wp14:anchorId="5DABAA62" wp14:editId="1DED48E1">
              <wp:simplePos x="0" y="0"/>
              <wp:positionH relativeFrom="page">
                <wp:posOffset>457200</wp:posOffset>
              </wp:positionH>
              <wp:positionV relativeFrom="paragraph">
                <wp:posOffset>148590</wp:posOffset>
              </wp:positionV>
              <wp:extent cx="6858000" cy="20320"/>
              <wp:effectExtent l="0" t="0" r="0" b="17780"/>
              <wp:wrapNone/>
              <wp:docPr id="1908700734" name="Straight Connector 19087007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6C27C" id="Straight Connector 1908700734"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4EB59D8C" w14:textId="206FF6AD" w:rsidR="00052FAF" w:rsidRPr="00030F05" w:rsidRDefault="00052FAF" w:rsidP="005C6A11">
    <w:pPr>
      <w:pStyle w:val="NoSpacing"/>
      <w:rPr>
        <w:sz w:val="16"/>
      </w:rPr>
    </w:pPr>
    <w:r>
      <w:rPr>
        <w:noProof/>
        <w:lang w:val="nl-NL" w:eastAsia="nl-NL"/>
      </w:rPr>
      <w:drawing>
        <wp:anchor distT="0" distB="0" distL="114300" distR="114300" simplePos="0" relativeHeight="251682816" behindDoc="0" locked="0" layoutInCell="1" allowOverlap="1" wp14:anchorId="33161638" wp14:editId="084A3BA6">
          <wp:simplePos x="0" y="0"/>
          <wp:positionH relativeFrom="page">
            <wp:posOffset>6320155</wp:posOffset>
          </wp:positionH>
          <wp:positionV relativeFrom="page">
            <wp:posOffset>9526600</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946545088"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lang w:val="nl-NL" w:eastAsia="nl-NL"/>
      </w:rPr>
      <mc:AlternateContent>
        <mc:Choice Requires="wps">
          <w:drawing>
            <wp:anchor distT="0" distB="0" distL="114300" distR="114300" simplePos="0" relativeHeight="251684864" behindDoc="0" locked="0" layoutInCell="1" allowOverlap="1" wp14:anchorId="2CC1318E" wp14:editId="0A96E091">
              <wp:simplePos x="0" y="0"/>
              <wp:positionH relativeFrom="margin">
                <wp:posOffset>3224861</wp:posOffset>
              </wp:positionH>
              <wp:positionV relativeFrom="paragraph">
                <wp:posOffset>127635</wp:posOffset>
              </wp:positionV>
              <wp:extent cx="1263650" cy="234950"/>
              <wp:effectExtent l="0" t="0" r="0" b="0"/>
              <wp:wrapNone/>
              <wp:docPr id="35731040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7F70E202" w14:textId="77777777" w:rsidR="00052FAF" w:rsidRPr="00D43137" w:rsidRDefault="00052FAF"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C1318E" id="_x0000_t202" coordsize="21600,21600" o:spt="202" path="m,l,21600r21600,l21600,xe">
              <v:stroke joinstyle="miter"/>
              <v:path gradientshapeok="t" o:connecttype="rect"/>
            </v:shapetype>
            <v:shape id="Text Box 2" o:spid="_x0000_s1032" type="#_x0000_t202" style="position:absolute;margin-left:253.95pt;margin-top:10.05pt;width:99.5pt;height:18.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IoWVtwZAgAAMwQAAA4AAAAAAAAAAAAAAAAALgIAAGRycy9lMm9Eb2MueG1sUEsBAi0A&#10;FAAGAAgAAAAhAK0HMQngAAAACQEAAA8AAAAAAAAAAAAAAAAAcwQAAGRycy9kb3ducmV2LnhtbFBL&#10;BQYAAAAABAAEAPMAAACABQAAAAA=&#10;" filled="f" stroked="f" strokeweight=".5pt">
              <v:textbox>
                <w:txbxContent>
                  <w:p w14:paraId="7F70E202" w14:textId="77777777" w:rsidR="00052FAF" w:rsidRPr="00D43137" w:rsidRDefault="00052FAF" w:rsidP="00D43137">
                    <w:pPr>
                      <w:pStyle w:val="NoSpacing"/>
                    </w:pPr>
                    <w:r w:rsidRPr="00D43137">
                      <w:t>FOR PUBLIC USE</w:t>
                    </w:r>
                  </w:p>
                </w:txbxContent>
              </v:textbox>
              <w10:wrap anchorx="margin"/>
            </v:shape>
          </w:pict>
        </mc:Fallback>
      </mc:AlternateContent>
    </w:r>
    <w:r>
      <w:rPr>
        <w:noProof/>
        <w:lang w:val="nl-NL" w:eastAsia="nl-NL"/>
      </w:rPr>
      <w:drawing>
        <wp:anchor distT="0" distB="0" distL="114300" distR="114300" simplePos="0" relativeHeight="251683840" behindDoc="0" locked="0" layoutInCell="1" allowOverlap="1" wp14:anchorId="5931D532" wp14:editId="0AFB5A14">
          <wp:simplePos x="0" y="0"/>
          <wp:positionH relativeFrom="column">
            <wp:posOffset>4793753</wp:posOffset>
          </wp:positionH>
          <wp:positionV relativeFrom="paragraph">
            <wp:posOffset>53727</wp:posOffset>
          </wp:positionV>
          <wp:extent cx="901700" cy="340360"/>
          <wp:effectExtent l="0" t="0" r="0" b="2540"/>
          <wp:wrapNone/>
          <wp:docPr id="137298865"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2">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2869DE13" w14:textId="7F6C9337" w:rsidR="00052FAF" w:rsidRDefault="00052FAF" w:rsidP="005C6A11">
    <w:pPr>
      <w:pStyle w:val="NoSpacing"/>
    </w:pPr>
    <w:hyperlink r:id="rId3" w:history="1">
      <w:r w:rsidRPr="00EE3028">
        <w:rPr>
          <w:rStyle w:val="Hyperlink"/>
          <w:sz w:val="16"/>
        </w:rPr>
        <w:t>Or reach us here</w:t>
      </w:r>
    </w:hyperlink>
    <w:r>
      <w:rPr>
        <w:sz w:val="16"/>
      </w:rPr>
      <w:tab/>
    </w:r>
    <w:r>
      <w:rPr>
        <w:sz w:val="16"/>
      </w:rPr>
      <w:tab/>
    </w:r>
    <w:r>
      <w:rPr>
        <w:sz w:val="16"/>
      </w:rPr>
      <w:tab/>
      <w:t>aroerink@210analytics.com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010B" w14:textId="5603CEEC" w:rsidR="00052FAF" w:rsidRPr="001C4C48" w:rsidRDefault="00052FAF"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62336" behindDoc="0" locked="0" layoutInCell="1" allowOverlap="1" wp14:anchorId="11581A8B" wp14:editId="6188BCC6">
              <wp:simplePos x="0" y="0"/>
              <wp:positionH relativeFrom="page">
                <wp:posOffset>457200</wp:posOffset>
              </wp:positionH>
              <wp:positionV relativeFrom="paragraph">
                <wp:posOffset>148590</wp:posOffset>
              </wp:positionV>
              <wp:extent cx="6858000" cy="20320"/>
              <wp:effectExtent l="0" t="0" r="0" b="1778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DDB5A" id="Straight Connector 4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2E03CFA6" w14:textId="6B26075A" w:rsidR="00052FAF" w:rsidRPr="00030F05" w:rsidRDefault="00052FAF" w:rsidP="005C6A11">
    <w:pPr>
      <w:pStyle w:val="NoSpacing"/>
      <w:rPr>
        <w:sz w:val="16"/>
      </w:rPr>
    </w:pPr>
    <w:r>
      <w:rPr>
        <w:b/>
        <w:bCs/>
        <w:noProof/>
        <w:lang w:val="nl-NL" w:eastAsia="nl-NL"/>
      </w:rPr>
      <mc:AlternateContent>
        <mc:Choice Requires="wps">
          <w:drawing>
            <wp:anchor distT="0" distB="0" distL="114300" distR="114300" simplePos="0" relativeHeight="251670528" behindDoc="0" locked="0" layoutInCell="1" allowOverlap="1" wp14:anchorId="3B6ABAC2" wp14:editId="1DE091D8">
              <wp:simplePos x="0" y="0"/>
              <wp:positionH relativeFrom="margin">
                <wp:posOffset>3224861</wp:posOffset>
              </wp:positionH>
              <wp:positionV relativeFrom="paragraph">
                <wp:posOffset>127635</wp:posOffset>
              </wp:positionV>
              <wp:extent cx="1263650" cy="234950"/>
              <wp:effectExtent l="0" t="0" r="0" b="0"/>
              <wp:wrapNone/>
              <wp:docPr id="954717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08F80453" w14:textId="77777777" w:rsidR="00052FAF" w:rsidRPr="00D43137" w:rsidRDefault="00052FAF"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6ABAC2" id="_x0000_t202" coordsize="21600,21600" o:spt="202" path="m,l,21600r21600,l21600,xe">
              <v:stroke joinstyle="miter"/>
              <v:path gradientshapeok="t" o:connecttype="rect"/>
            </v:shapetype>
            <v:shape id="_x0000_s1036" type="#_x0000_t202" style="position:absolute;margin-left:253.95pt;margin-top:10.05pt;width:99.5pt;height:18.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PTTij8ZAgAAMwQAAA4AAAAAAAAAAAAAAAAALgIAAGRycy9lMm9Eb2MueG1sUEsBAi0A&#10;FAAGAAgAAAAhAK0HMQngAAAACQEAAA8AAAAAAAAAAAAAAAAAcwQAAGRycy9kb3ducmV2LnhtbFBL&#10;BQYAAAAABAAEAPMAAACABQAAAAA=&#10;" filled="f" stroked="f" strokeweight=".5pt">
              <v:textbox>
                <w:txbxContent>
                  <w:p w14:paraId="08F80453" w14:textId="77777777" w:rsidR="00052FAF" w:rsidRPr="00D43137" w:rsidRDefault="00052FAF" w:rsidP="00D43137">
                    <w:pPr>
                      <w:pStyle w:val="NoSpacing"/>
                    </w:pPr>
                    <w:r w:rsidRPr="00D43137">
                      <w:t>FOR PUBLIC USE</w:t>
                    </w:r>
                  </w:p>
                </w:txbxContent>
              </v:textbox>
              <w10:wrap anchorx="margin"/>
            </v:shape>
          </w:pict>
        </mc:Fallback>
      </mc:AlternateContent>
    </w:r>
    <w:r>
      <w:rPr>
        <w:noProof/>
        <w:lang w:val="nl-NL" w:eastAsia="nl-NL"/>
      </w:rPr>
      <w:drawing>
        <wp:anchor distT="0" distB="0" distL="114300" distR="114300" simplePos="0" relativeHeight="251668480" behindDoc="0" locked="0" layoutInCell="1" allowOverlap="1" wp14:anchorId="0120D60A" wp14:editId="319CB753">
          <wp:simplePos x="0" y="0"/>
          <wp:positionH relativeFrom="column">
            <wp:posOffset>4793753</wp:posOffset>
          </wp:positionH>
          <wp:positionV relativeFrom="paragraph">
            <wp:posOffset>53727</wp:posOffset>
          </wp:positionV>
          <wp:extent cx="901700" cy="340360"/>
          <wp:effectExtent l="0" t="0" r="0" b="2540"/>
          <wp:wrapNone/>
          <wp:docPr id="2"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1">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67456" behindDoc="0" locked="0" layoutInCell="1" allowOverlap="1" wp14:anchorId="5B1C0178" wp14:editId="715407E1">
          <wp:simplePos x="0" y="0"/>
          <wp:positionH relativeFrom="page">
            <wp:posOffset>6320155</wp:posOffset>
          </wp:positionH>
          <wp:positionV relativeFrom="page">
            <wp:posOffset>9353412</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3"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6341E62C" w14:textId="3DBB3B2B" w:rsidR="00052FAF" w:rsidRDefault="00052FAF" w:rsidP="005C6A11">
    <w:pPr>
      <w:pStyle w:val="NoSpacing"/>
    </w:pPr>
    <w:r>
      <w:rPr>
        <w:sz w:val="16"/>
      </w:rPr>
      <w:t>FreshFoods@circana.com</w:t>
    </w:r>
    <w:r>
      <w:rPr>
        <w:sz w:val="16"/>
      </w:rPr>
      <w:tab/>
    </w:r>
    <w:r>
      <w:rPr>
        <w:sz w:val="16"/>
      </w:rPr>
      <w:tab/>
      <w:t>aroerink@210analytics.com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ACD3" w14:textId="77777777" w:rsidR="00A46E23" w:rsidRDefault="00A46E23" w:rsidP="005C6A11">
      <w:pPr>
        <w:spacing w:after="0" w:line="240" w:lineRule="auto"/>
      </w:pPr>
      <w:r>
        <w:separator/>
      </w:r>
    </w:p>
  </w:footnote>
  <w:footnote w:type="continuationSeparator" w:id="0">
    <w:p w14:paraId="4F59AB40" w14:textId="77777777" w:rsidR="00A46E23" w:rsidRDefault="00A46E23" w:rsidP="005C6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301A" w14:textId="77B7473C" w:rsidR="00052FAF" w:rsidRDefault="00F60945">
    <w:pPr>
      <w:pStyle w:val="Header"/>
    </w:pPr>
    <w:r>
      <w:rPr>
        <w:noProof/>
        <w:lang w:val="nl-NL" w:eastAsia="nl-NL"/>
      </w:rPr>
      <mc:AlternateContent>
        <mc:Choice Requires="wps">
          <w:drawing>
            <wp:anchor distT="0" distB="0" distL="114300" distR="114300" simplePos="0" relativeHeight="251686912" behindDoc="0" locked="0" layoutInCell="1" allowOverlap="1" wp14:anchorId="43C728C5" wp14:editId="39AD3FC2">
              <wp:simplePos x="0" y="0"/>
              <wp:positionH relativeFrom="margin">
                <wp:posOffset>3094272</wp:posOffset>
              </wp:positionH>
              <wp:positionV relativeFrom="paragraph">
                <wp:posOffset>-170208</wp:posOffset>
              </wp:positionV>
              <wp:extent cx="3733800" cy="295275"/>
              <wp:effectExtent l="0" t="0" r="0" b="0"/>
              <wp:wrapNone/>
              <wp:docPr id="1277881249"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3DBD0102" w14:textId="77777777" w:rsidR="00052FAF" w:rsidRPr="00C24355" w:rsidRDefault="00052FA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C728C5" id="_x0000_t202" coordsize="21600,21600" o:spt="202" path="m,l,21600r21600,l21600,xe">
              <v:stroke joinstyle="miter"/>
              <v:path gradientshapeok="t" o:connecttype="rect"/>
            </v:shapetype>
            <v:shape id="Text Box 5" o:spid="_x0000_s1029" type="#_x0000_t202" style="position:absolute;margin-left:243.65pt;margin-top:-13.4pt;width:294pt;height:23.2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XBFwIAACw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" filled="f" stroked="f" strokeweight=".5pt">
              <v:textbox>
                <w:txbxContent>
                  <w:p w14:paraId="3DBD0102" w14:textId="77777777" w:rsidR="00052FAF" w:rsidRPr="00C24355" w:rsidRDefault="00052FA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sidR="00052FAF" w:rsidRPr="00C24355">
      <w:rPr>
        <w:noProof/>
        <w:lang w:val="nl-NL" w:eastAsia="nl-NL"/>
      </w:rPr>
      <w:drawing>
        <wp:anchor distT="0" distB="0" distL="114300" distR="114300" simplePos="0" relativeHeight="251687936" behindDoc="0" locked="0" layoutInCell="1" allowOverlap="1" wp14:anchorId="488DD6DF" wp14:editId="0478F91D">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790641241"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00052FAF" w:rsidRPr="00C24355">
      <w:rPr>
        <w:noProof/>
        <w:lang w:val="nl-NL" w:eastAsia="nl-NL"/>
      </w:rPr>
      <mc:AlternateContent>
        <mc:Choice Requires="wps">
          <w:drawing>
            <wp:anchor distT="0" distB="0" distL="114300" distR="114300" simplePos="0" relativeHeight="251679744" behindDoc="0" locked="0" layoutInCell="1" allowOverlap="1" wp14:anchorId="2FF99325" wp14:editId="410748F5">
              <wp:simplePos x="0" y="0"/>
              <wp:positionH relativeFrom="page">
                <wp:align>right</wp:align>
              </wp:positionH>
              <wp:positionV relativeFrom="paragraph">
                <wp:posOffset>-449580</wp:posOffset>
              </wp:positionV>
              <wp:extent cx="7757160" cy="796290"/>
              <wp:effectExtent l="0" t="0" r="15240" b="22860"/>
              <wp:wrapNone/>
              <wp:docPr id="1052394166" name="Rectangle 3"/>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97DCFA7" id="Rectangle 3" o:spid="_x0000_s1026" style="position:absolute;margin-left:559.6pt;margin-top:-35.4pt;width:610.8pt;height:62.7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sidR="00052FAF">
      <w:rPr>
        <w:noProof/>
        <w:lang w:val="nl-NL" w:eastAsia="nl-NL"/>
      </w:rPr>
      <mc:AlternateContent>
        <mc:Choice Requires="wps">
          <w:drawing>
            <wp:anchor distT="0" distB="0" distL="114300" distR="114300" simplePos="0" relativeHeight="251685888" behindDoc="0" locked="0" layoutInCell="1" allowOverlap="1" wp14:anchorId="5BDA6E71" wp14:editId="65CBD823">
              <wp:simplePos x="0" y="0"/>
              <wp:positionH relativeFrom="column">
                <wp:posOffset>107315</wp:posOffset>
              </wp:positionH>
              <wp:positionV relativeFrom="paragraph">
                <wp:posOffset>-430530</wp:posOffset>
              </wp:positionV>
              <wp:extent cx="1219200" cy="295275"/>
              <wp:effectExtent l="0" t="0" r="0" b="0"/>
              <wp:wrapNone/>
              <wp:docPr id="211912956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215D49A1" w14:textId="77777777" w:rsidR="00052FAF" w:rsidRPr="00C24355" w:rsidRDefault="00052FAF">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DA6E71" id="_x0000_s1030" type="#_x0000_t202" style="position:absolute;margin-left:8.45pt;margin-top:-33.9pt;width:96pt;height:23.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YOGA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" filled="f" stroked="f" strokeweight=".5pt">
              <v:textbox>
                <w:txbxContent>
                  <w:p w14:paraId="215D49A1" w14:textId="77777777" w:rsidR="00052FAF" w:rsidRPr="00C24355" w:rsidRDefault="00052FAF">
                    <w:pPr>
                      <w:rPr>
                        <w:color w:val="FFFFFF" w:themeColor="background1"/>
                      </w:rPr>
                    </w:pPr>
                    <w:r w:rsidRPr="00C24355">
                      <w:rPr>
                        <w:color w:val="FFFFFF" w:themeColor="background1"/>
                      </w:rPr>
                      <w:t xml:space="preserve">Made possible by: </w:t>
                    </w:r>
                  </w:p>
                </w:txbxContent>
              </v:textbox>
            </v:shape>
          </w:pict>
        </mc:Fallback>
      </mc:AlternateContent>
    </w:r>
    <w:r w:rsidR="00052FAF" w:rsidRPr="00C24355">
      <w:rPr>
        <w:noProof/>
        <w:lang w:val="nl-NL" w:eastAsia="nl-NL"/>
      </w:rPr>
      <mc:AlternateContent>
        <mc:Choice Requires="wps">
          <w:drawing>
            <wp:anchor distT="0" distB="0" distL="114300" distR="114300" simplePos="0" relativeHeight="251680768" behindDoc="0" locked="0" layoutInCell="1" allowOverlap="1" wp14:anchorId="582FB6EA" wp14:editId="3989270B">
              <wp:simplePos x="0" y="0"/>
              <wp:positionH relativeFrom="page">
                <wp:posOffset>130175</wp:posOffset>
              </wp:positionH>
              <wp:positionV relativeFrom="paragraph">
                <wp:posOffset>-388620</wp:posOffset>
              </wp:positionV>
              <wp:extent cx="418496" cy="190017"/>
              <wp:effectExtent l="0" t="0" r="0" b="0"/>
              <wp:wrapNone/>
              <wp:docPr id="293695653" name="TextBox 13"/>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7B8B5969" w14:textId="77777777" w:rsidR="00052FAF" w:rsidRDefault="00052FAF" w:rsidP="00C24355">
                          <w:pPr>
                            <w:rPr>
                              <w:rFonts w:ascii="Calibri" w:eastAsia="Calibri" w:hAnsi="Calibri" w:cs="Calibri"/>
                              <w:color w:val="03C03C"/>
                              <w:kern w:val="24"/>
                              <w:sz w:val="24"/>
                              <w:szCs w:val="24"/>
                              <w:lang w:val="es-CL"/>
                            </w:rPr>
                          </w:pPr>
                          <w:proofErr w:type="spellStart"/>
                          <w:r>
                            <w:rPr>
                              <w:rFonts w:ascii="Calibri" w:eastAsia="Calibri" w:hAnsi="Calibri" w:cs="Calibri"/>
                              <w:color w:val="03C03C"/>
                              <w:kern w:val="24"/>
                              <w:lang w:val="es-CL"/>
                            </w:rPr>
                            <w:t>Public</w:t>
                          </w:r>
                          <w:proofErr w:type="spellEnd"/>
                        </w:p>
                      </w:txbxContent>
                    </wps:txbx>
                    <wps:bodyPr horzOverflow="overflow" wrap="square" lIns="0" tIns="0" rIns="0" bIns="0">
                      <a:noAutofit/>
                    </wps:bodyPr>
                  </wps:wsp>
                </a:graphicData>
              </a:graphic>
              <wp14:sizeRelV relativeFrom="margin">
                <wp14:pctHeight>0</wp14:pctHeight>
              </wp14:sizeRelV>
            </wp:anchor>
          </w:drawing>
        </mc:Choice>
        <mc:Fallback>
          <w:pict>
            <v:shape w14:anchorId="582FB6EA" id="TextBox 13" o:spid="_x0000_s1031" type="#_x0000_t202" style="position:absolute;margin-left:10.25pt;margin-top:-30.6pt;width:32.95pt;height:14.95pt;z-index:2516807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" filled="f" stroked="f">
              <v:textbox inset="0,0,0,0">
                <w:txbxContent>
                  <w:p w14:paraId="7B8B5969" w14:textId="77777777" w:rsidR="00052FAF" w:rsidRDefault="00052FAF"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F1A0" w14:textId="70CAC421" w:rsidR="00052FAF" w:rsidRDefault="00052FAF">
    <w:pPr>
      <w:pStyle w:val="Header"/>
    </w:pPr>
    <w:r w:rsidRPr="00C24355">
      <w:rPr>
        <w:noProof/>
        <w:lang w:val="nl-NL" w:eastAsia="nl-NL"/>
      </w:rPr>
      <w:drawing>
        <wp:anchor distT="0" distB="0" distL="114300" distR="114300" simplePos="0" relativeHeight="251677696" behindDoc="0" locked="0" layoutInCell="1" allowOverlap="1" wp14:anchorId="735272F0" wp14:editId="4C1FFE56">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9"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60287" behindDoc="0" locked="0" layoutInCell="1" allowOverlap="1" wp14:anchorId="1978A392" wp14:editId="32ADFC22">
              <wp:simplePos x="0" y="0"/>
              <wp:positionH relativeFrom="page">
                <wp:align>right</wp:align>
              </wp:positionH>
              <wp:positionV relativeFrom="paragraph">
                <wp:posOffset>-449580</wp:posOffset>
              </wp:positionV>
              <wp:extent cx="7757160" cy="796290"/>
              <wp:effectExtent l="0" t="0" r="15240" b="22860"/>
              <wp:wrapNone/>
              <wp:docPr id="4" name="Rectangle 3">
                <a:extLst xmlns:a="http://schemas.openxmlformats.org/drawingml/2006/main">
                  <a:ext uri="{FF2B5EF4-FFF2-40B4-BE49-F238E27FC236}">
                    <a16:creationId xmlns:a16="http://schemas.microsoft.com/office/drawing/2014/main" id="{17AE87BA-9C6F-E2E2-9A8F-89A18222104D}"/>
                  </a:ext>
                </a:extLst>
              </wp:docPr>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432245E" id="Rectangle 3" o:spid="_x0000_s1026" style="position:absolute;margin-left:559.6pt;margin-top:-35.4pt;width:610.8pt;height:62.7pt;z-index:25166028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76672" behindDoc="0" locked="0" layoutInCell="1" allowOverlap="1" wp14:anchorId="6789C81C" wp14:editId="068E9D0C">
              <wp:simplePos x="0" y="0"/>
              <wp:positionH relativeFrom="margin">
                <wp:posOffset>3324860</wp:posOffset>
              </wp:positionH>
              <wp:positionV relativeFrom="paragraph">
                <wp:posOffset>-154305</wp:posOffset>
              </wp:positionV>
              <wp:extent cx="3733800" cy="295275"/>
              <wp:effectExtent l="0" t="0" r="0" b="0"/>
              <wp:wrapNone/>
              <wp:docPr id="143799823"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06ADC25C" w14:textId="292E0D27" w:rsidR="00052FAF" w:rsidRPr="00C24355" w:rsidRDefault="00052FA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89C81C" id="_x0000_t202" coordsize="21600,21600" o:spt="202" path="m,l,21600r21600,l21600,xe">
              <v:stroke joinstyle="miter"/>
              <v:path gradientshapeok="t" o:connecttype="rect"/>
            </v:shapetype>
            <v:shape id="_x0000_s1033" type="#_x0000_t202" style="position:absolute;margin-left:261.8pt;margin-top:-12.15pt;width:294pt;height:23.2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4bGw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" filled="f" stroked="f" strokeweight=".5pt">
              <v:textbox>
                <w:txbxContent>
                  <w:p w14:paraId="06ADC25C" w14:textId="292E0D27" w:rsidR="00052FAF" w:rsidRPr="00C24355" w:rsidRDefault="00052FA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72576" behindDoc="0" locked="0" layoutInCell="1" allowOverlap="1" wp14:anchorId="5C8EBC63" wp14:editId="0DBBE70C">
              <wp:simplePos x="0" y="0"/>
              <wp:positionH relativeFrom="column">
                <wp:posOffset>107315</wp:posOffset>
              </wp:positionH>
              <wp:positionV relativeFrom="paragraph">
                <wp:posOffset>-430530</wp:posOffset>
              </wp:positionV>
              <wp:extent cx="1219200" cy="295275"/>
              <wp:effectExtent l="0" t="0" r="0" b="0"/>
              <wp:wrapNone/>
              <wp:docPr id="21543593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633CA68C" w14:textId="610B1D9F" w:rsidR="00052FAF" w:rsidRPr="00C24355" w:rsidRDefault="00052FAF">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8EBC63" id="_x0000_s1034" type="#_x0000_t202" style="position:absolute;margin-left:8.45pt;margin-top:-33.9pt;width:96pt;height:23.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rtGQ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" filled="f" stroked="f" strokeweight=".5pt">
              <v:textbox>
                <w:txbxContent>
                  <w:p w14:paraId="633CA68C" w14:textId="610B1D9F" w:rsidR="00052FAF" w:rsidRPr="00C24355" w:rsidRDefault="00052FAF">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61311" behindDoc="0" locked="0" layoutInCell="1" allowOverlap="1" wp14:anchorId="48C53573" wp14:editId="20AF8B2A">
              <wp:simplePos x="0" y="0"/>
              <wp:positionH relativeFrom="page">
                <wp:posOffset>130175</wp:posOffset>
              </wp:positionH>
              <wp:positionV relativeFrom="paragraph">
                <wp:posOffset>-388620</wp:posOffset>
              </wp:positionV>
              <wp:extent cx="418496" cy="190017"/>
              <wp:effectExtent l="0" t="0" r="0" b="0"/>
              <wp:wrapNone/>
              <wp:docPr id="14" name="TextBox 13">
                <a:extLst xmlns:a="http://schemas.openxmlformats.org/drawingml/2006/main">
                  <a:ext uri="{FF2B5EF4-FFF2-40B4-BE49-F238E27FC236}">
                    <a16:creationId xmlns:a16="http://schemas.microsoft.com/office/drawing/2014/main" id="{CDA1F179-F74C-B7A3-9A0C-F0F095EA7FBA}"/>
                  </a:ext>
                </a:extLst>
              </wp:docPr>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1095739C" w14:textId="77777777" w:rsidR="00052FAF" w:rsidRDefault="00052FAF" w:rsidP="00C24355">
                          <w:pPr>
                            <w:rPr>
                              <w:rFonts w:ascii="Calibri" w:eastAsia="Calibri" w:hAnsi="Calibri" w:cs="Calibri"/>
                              <w:color w:val="03C03C"/>
                              <w:kern w:val="24"/>
                              <w:sz w:val="24"/>
                              <w:szCs w:val="24"/>
                              <w:lang w:val="es-CL"/>
                            </w:rPr>
                          </w:pPr>
                          <w:proofErr w:type="spellStart"/>
                          <w:r>
                            <w:rPr>
                              <w:rFonts w:ascii="Calibri" w:eastAsia="Calibri" w:hAnsi="Calibri" w:cs="Calibri"/>
                              <w:color w:val="03C03C"/>
                              <w:kern w:val="24"/>
                              <w:lang w:val="es-CL"/>
                            </w:rPr>
                            <w:t>Public</w:t>
                          </w:r>
                          <w:proofErr w:type="spellEnd"/>
                        </w:p>
                      </w:txbxContent>
                    </wps:txbx>
                    <wps:bodyPr horzOverflow="overflow" wrap="square" lIns="0" tIns="0" rIns="0" bIns="0">
                      <a:noAutofit/>
                    </wps:bodyPr>
                  </wps:wsp>
                </a:graphicData>
              </a:graphic>
              <wp14:sizeRelV relativeFrom="margin">
                <wp14:pctHeight>0</wp14:pctHeight>
              </wp14:sizeRelV>
            </wp:anchor>
          </w:drawing>
        </mc:Choice>
        <mc:Fallback>
          <w:pict>
            <v:shape w14:anchorId="48C53573" id="_x0000_s1035" type="#_x0000_t202" style="position:absolute;margin-left:10.25pt;margin-top:-30.6pt;width:32.95pt;height:14.95pt;z-index:25166131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" filled="f" stroked="f">
              <v:textbox inset="0,0,0,0">
                <w:txbxContent>
                  <w:p w14:paraId="1095739C" w14:textId="77777777" w:rsidR="00052FAF" w:rsidRDefault="00052FAF"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BF1"/>
    <w:multiLevelType w:val="hybridMultilevel"/>
    <w:tmpl w:val="E8E08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1A05FD"/>
    <w:multiLevelType w:val="hybridMultilevel"/>
    <w:tmpl w:val="F0347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573A"/>
    <w:multiLevelType w:val="hybridMultilevel"/>
    <w:tmpl w:val="1D1E7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0107A2"/>
    <w:multiLevelType w:val="multilevel"/>
    <w:tmpl w:val="E02CB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C0B0BAE"/>
    <w:multiLevelType w:val="hybridMultilevel"/>
    <w:tmpl w:val="6944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527BC"/>
    <w:multiLevelType w:val="hybridMultilevel"/>
    <w:tmpl w:val="48E88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6C46A9"/>
    <w:multiLevelType w:val="multilevel"/>
    <w:tmpl w:val="20CE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3F44FE"/>
    <w:multiLevelType w:val="hybridMultilevel"/>
    <w:tmpl w:val="ED52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2C76C8"/>
    <w:multiLevelType w:val="hybridMultilevel"/>
    <w:tmpl w:val="31285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D65C6"/>
    <w:multiLevelType w:val="hybridMultilevel"/>
    <w:tmpl w:val="2FCC0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516D57"/>
    <w:multiLevelType w:val="hybridMultilevel"/>
    <w:tmpl w:val="CAD4A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9291C94"/>
    <w:multiLevelType w:val="hybridMultilevel"/>
    <w:tmpl w:val="F066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94F4B"/>
    <w:multiLevelType w:val="hybridMultilevel"/>
    <w:tmpl w:val="4A7E1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9A78BC"/>
    <w:multiLevelType w:val="hybridMultilevel"/>
    <w:tmpl w:val="315A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12390"/>
    <w:multiLevelType w:val="hybridMultilevel"/>
    <w:tmpl w:val="0420B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B60E0"/>
    <w:multiLevelType w:val="hybridMultilevel"/>
    <w:tmpl w:val="752C8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5E9152D"/>
    <w:multiLevelType w:val="hybridMultilevel"/>
    <w:tmpl w:val="3A869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800E66"/>
    <w:multiLevelType w:val="hybridMultilevel"/>
    <w:tmpl w:val="1256E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F56A56"/>
    <w:multiLevelType w:val="hybridMultilevel"/>
    <w:tmpl w:val="4FDAD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1A472B"/>
    <w:multiLevelType w:val="hybridMultilevel"/>
    <w:tmpl w:val="FE6884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3231069">
    <w:abstractNumId w:val="0"/>
  </w:num>
  <w:num w:numId="2" w16cid:durableId="380060272">
    <w:abstractNumId w:val="6"/>
  </w:num>
  <w:num w:numId="3" w16cid:durableId="1195921212">
    <w:abstractNumId w:val="10"/>
  </w:num>
  <w:num w:numId="4" w16cid:durableId="1330988945">
    <w:abstractNumId w:val="7"/>
  </w:num>
  <w:num w:numId="5" w16cid:durableId="808206843">
    <w:abstractNumId w:val="15"/>
  </w:num>
  <w:num w:numId="6" w16cid:durableId="1264529518">
    <w:abstractNumId w:val="8"/>
  </w:num>
  <w:num w:numId="7" w16cid:durableId="1776631166">
    <w:abstractNumId w:val="18"/>
  </w:num>
  <w:num w:numId="8" w16cid:durableId="1383212697">
    <w:abstractNumId w:val="12"/>
  </w:num>
  <w:num w:numId="9" w16cid:durableId="765155889">
    <w:abstractNumId w:val="5"/>
  </w:num>
  <w:num w:numId="10" w16cid:durableId="341904295">
    <w:abstractNumId w:val="2"/>
  </w:num>
  <w:num w:numId="11" w16cid:durableId="308561985">
    <w:abstractNumId w:val="11"/>
  </w:num>
  <w:num w:numId="12" w16cid:durableId="1491562498">
    <w:abstractNumId w:val="9"/>
  </w:num>
  <w:num w:numId="13" w16cid:durableId="2136438758">
    <w:abstractNumId w:val="17"/>
  </w:num>
  <w:num w:numId="14" w16cid:durableId="1086997936">
    <w:abstractNumId w:val="4"/>
  </w:num>
  <w:num w:numId="15" w16cid:durableId="1624380729">
    <w:abstractNumId w:val="3"/>
  </w:num>
  <w:num w:numId="16" w16cid:durableId="1989481651">
    <w:abstractNumId w:val="13"/>
  </w:num>
  <w:num w:numId="17" w16cid:durableId="1102455104">
    <w:abstractNumId w:val="16"/>
  </w:num>
  <w:num w:numId="18" w16cid:durableId="316958576">
    <w:abstractNumId w:val="1"/>
  </w:num>
  <w:num w:numId="19" w16cid:durableId="813831427">
    <w:abstractNumId w:val="14"/>
  </w:num>
  <w:num w:numId="20" w16cid:durableId="104517979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2D"/>
    <w:rsid w:val="00000DF3"/>
    <w:rsid w:val="00001531"/>
    <w:rsid w:val="000015B9"/>
    <w:rsid w:val="00003C61"/>
    <w:rsid w:val="00003E42"/>
    <w:rsid w:val="00004370"/>
    <w:rsid w:val="0000542B"/>
    <w:rsid w:val="000069DB"/>
    <w:rsid w:val="0000716C"/>
    <w:rsid w:val="000073AF"/>
    <w:rsid w:val="00010D51"/>
    <w:rsid w:val="00010E4C"/>
    <w:rsid w:val="00010FAD"/>
    <w:rsid w:val="000110DE"/>
    <w:rsid w:val="00011615"/>
    <w:rsid w:val="00012656"/>
    <w:rsid w:val="000143E1"/>
    <w:rsid w:val="0001613E"/>
    <w:rsid w:val="00020EF9"/>
    <w:rsid w:val="0002118C"/>
    <w:rsid w:val="00021465"/>
    <w:rsid w:val="000253BE"/>
    <w:rsid w:val="00025776"/>
    <w:rsid w:val="000307ED"/>
    <w:rsid w:val="00030E1C"/>
    <w:rsid w:val="00031D81"/>
    <w:rsid w:val="00033457"/>
    <w:rsid w:val="000336F5"/>
    <w:rsid w:val="00034CAB"/>
    <w:rsid w:val="0003785A"/>
    <w:rsid w:val="00040AFB"/>
    <w:rsid w:val="00041EC6"/>
    <w:rsid w:val="0004261E"/>
    <w:rsid w:val="000432E3"/>
    <w:rsid w:val="00043300"/>
    <w:rsid w:val="000443E5"/>
    <w:rsid w:val="000447A5"/>
    <w:rsid w:val="00045FC4"/>
    <w:rsid w:val="00046274"/>
    <w:rsid w:val="00046699"/>
    <w:rsid w:val="00046AD4"/>
    <w:rsid w:val="00050116"/>
    <w:rsid w:val="000519E3"/>
    <w:rsid w:val="00051B45"/>
    <w:rsid w:val="00051C34"/>
    <w:rsid w:val="000527E7"/>
    <w:rsid w:val="00052FAF"/>
    <w:rsid w:val="000531E9"/>
    <w:rsid w:val="0005366D"/>
    <w:rsid w:val="000538B1"/>
    <w:rsid w:val="000554A9"/>
    <w:rsid w:val="000562A3"/>
    <w:rsid w:val="000565D0"/>
    <w:rsid w:val="000571DD"/>
    <w:rsid w:val="000571FF"/>
    <w:rsid w:val="00057253"/>
    <w:rsid w:val="0005728E"/>
    <w:rsid w:val="00061736"/>
    <w:rsid w:val="0006228B"/>
    <w:rsid w:val="000623FA"/>
    <w:rsid w:val="00062D68"/>
    <w:rsid w:val="00064A23"/>
    <w:rsid w:val="00065392"/>
    <w:rsid w:val="0006547E"/>
    <w:rsid w:val="0006594A"/>
    <w:rsid w:val="00066821"/>
    <w:rsid w:val="00070333"/>
    <w:rsid w:val="00070DFF"/>
    <w:rsid w:val="000719CE"/>
    <w:rsid w:val="00073C91"/>
    <w:rsid w:val="000755D7"/>
    <w:rsid w:val="000767D6"/>
    <w:rsid w:val="0007715C"/>
    <w:rsid w:val="0007789F"/>
    <w:rsid w:val="00080B15"/>
    <w:rsid w:val="00080DD9"/>
    <w:rsid w:val="00080FE7"/>
    <w:rsid w:val="0008427E"/>
    <w:rsid w:val="00085149"/>
    <w:rsid w:val="0008518D"/>
    <w:rsid w:val="0008541E"/>
    <w:rsid w:val="00086EE5"/>
    <w:rsid w:val="000873B8"/>
    <w:rsid w:val="000900F7"/>
    <w:rsid w:val="0009017B"/>
    <w:rsid w:val="00092982"/>
    <w:rsid w:val="0009299A"/>
    <w:rsid w:val="0009344B"/>
    <w:rsid w:val="0009383A"/>
    <w:rsid w:val="000941C5"/>
    <w:rsid w:val="00094A14"/>
    <w:rsid w:val="00094BA2"/>
    <w:rsid w:val="0009568B"/>
    <w:rsid w:val="00096CE6"/>
    <w:rsid w:val="000A1F36"/>
    <w:rsid w:val="000A298B"/>
    <w:rsid w:val="000A2D25"/>
    <w:rsid w:val="000A3117"/>
    <w:rsid w:val="000A3321"/>
    <w:rsid w:val="000A3930"/>
    <w:rsid w:val="000A5A05"/>
    <w:rsid w:val="000A6C2E"/>
    <w:rsid w:val="000A6D43"/>
    <w:rsid w:val="000A6F81"/>
    <w:rsid w:val="000A701A"/>
    <w:rsid w:val="000A7282"/>
    <w:rsid w:val="000A733E"/>
    <w:rsid w:val="000A7631"/>
    <w:rsid w:val="000A7977"/>
    <w:rsid w:val="000B08C5"/>
    <w:rsid w:val="000B0F9C"/>
    <w:rsid w:val="000B27E1"/>
    <w:rsid w:val="000B3D0B"/>
    <w:rsid w:val="000B3E7D"/>
    <w:rsid w:val="000B44C7"/>
    <w:rsid w:val="000B4820"/>
    <w:rsid w:val="000B58EE"/>
    <w:rsid w:val="000B5CC6"/>
    <w:rsid w:val="000B604D"/>
    <w:rsid w:val="000C00A0"/>
    <w:rsid w:val="000C362B"/>
    <w:rsid w:val="000C38C3"/>
    <w:rsid w:val="000C3A40"/>
    <w:rsid w:val="000C5533"/>
    <w:rsid w:val="000C6C8E"/>
    <w:rsid w:val="000D0AD4"/>
    <w:rsid w:val="000D1817"/>
    <w:rsid w:val="000D1A58"/>
    <w:rsid w:val="000D1B43"/>
    <w:rsid w:val="000D1E54"/>
    <w:rsid w:val="000D7DE6"/>
    <w:rsid w:val="000E0319"/>
    <w:rsid w:val="000E0D92"/>
    <w:rsid w:val="000E2A8C"/>
    <w:rsid w:val="000E3025"/>
    <w:rsid w:val="000E3D77"/>
    <w:rsid w:val="000E42FD"/>
    <w:rsid w:val="000E4EC9"/>
    <w:rsid w:val="000E5F89"/>
    <w:rsid w:val="000F3018"/>
    <w:rsid w:val="000F38AA"/>
    <w:rsid w:val="000F492C"/>
    <w:rsid w:val="000F7935"/>
    <w:rsid w:val="00101E76"/>
    <w:rsid w:val="001021E0"/>
    <w:rsid w:val="00102E93"/>
    <w:rsid w:val="00103769"/>
    <w:rsid w:val="00103CA2"/>
    <w:rsid w:val="00103FB9"/>
    <w:rsid w:val="0010455E"/>
    <w:rsid w:val="00105762"/>
    <w:rsid w:val="001079DA"/>
    <w:rsid w:val="001100BE"/>
    <w:rsid w:val="00110DFD"/>
    <w:rsid w:val="00114591"/>
    <w:rsid w:val="00114FC3"/>
    <w:rsid w:val="0011578C"/>
    <w:rsid w:val="00117294"/>
    <w:rsid w:val="00120015"/>
    <w:rsid w:val="00120646"/>
    <w:rsid w:val="00120EE3"/>
    <w:rsid w:val="001213B4"/>
    <w:rsid w:val="00122967"/>
    <w:rsid w:val="0012377A"/>
    <w:rsid w:val="001246C6"/>
    <w:rsid w:val="00124BCF"/>
    <w:rsid w:val="001255CA"/>
    <w:rsid w:val="00125898"/>
    <w:rsid w:val="001259CE"/>
    <w:rsid w:val="00125C8A"/>
    <w:rsid w:val="00125E07"/>
    <w:rsid w:val="00126ED4"/>
    <w:rsid w:val="00127477"/>
    <w:rsid w:val="00130058"/>
    <w:rsid w:val="00130759"/>
    <w:rsid w:val="0013078F"/>
    <w:rsid w:val="00130D50"/>
    <w:rsid w:val="00131428"/>
    <w:rsid w:val="0013154C"/>
    <w:rsid w:val="001329AC"/>
    <w:rsid w:val="00132CD2"/>
    <w:rsid w:val="0013390F"/>
    <w:rsid w:val="00135864"/>
    <w:rsid w:val="00135D06"/>
    <w:rsid w:val="00137A93"/>
    <w:rsid w:val="00137B83"/>
    <w:rsid w:val="00137DAB"/>
    <w:rsid w:val="00141DD4"/>
    <w:rsid w:val="00143263"/>
    <w:rsid w:val="001435B5"/>
    <w:rsid w:val="001445C0"/>
    <w:rsid w:val="0014464A"/>
    <w:rsid w:val="0014496F"/>
    <w:rsid w:val="001455FE"/>
    <w:rsid w:val="001462DB"/>
    <w:rsid w:val="0014683D"/>
    <w:rsid w:val="00147757"/>
    <w:rsid w:val="00147B4C"/>
    <w:rsid w:val="00147ED0"/>
    <w:rsid w:val="00150F85"/>
    <w:rsid w:val="00151A49"/>
    <w:rsid w:val="00151C32"/>
    <w:rsid w:val="00152886"/>
    <w:rsid w:val="00153180"/>
    <w:rsid w:val="00153C00"/>
    <w:rsid w:val="00153FDF"/>
    <w:rsid w:val="001544DD"/>
    <w:rsid w:val="00154919"/>
    <w:rsid w:val="00155452"/>
    <w:rsid w:val="00156328"/>
    <w:rsid w:val="001564BA"/>
    <w:rsid w:val="00156C65"/>
    <w:rsid w:val="00160F40"/>
    <w:rsid w:val="001612C9"/>
    <w:rsid w:val="0016283E"/>
    <w:rsid w:val="00162F26"/>
    <w:rsid w:val="001634E8"/>
    <w:rsid w:val="001637CA"/>
    <w:rsid w:val="0016423A"/>
    <w:rsid w:val="0016509F"/>
    <w:rsid w:val="00170C50"/>
    <w:rsid w:val="0017137A"/>
    <w:rsid w:val="00171698"/>
    <w:rsid w:val="001721F8"/>
    <w:rsid w:val="00172D46"/>
    <w:rsid w:val="00172D5F"/>
    <w:rsid w:val="00174011"/>
    <w:rsid w:val="00175CA6"/>
    <w:rsid w:val="00176B19"/>
    <w:rsid w:val="00177B25"/>
    <w:rsid w:val="00177D00"/>
    <w:rsid w:val="00180A10"/>
    <w:rsid w:val="00180B8A"/>
    <w:rsid w:val="00180D37"/>
    <w:rsid w:val="00180F0E"/>
    <w:rsid w:val="001810C6"/>
    <w:rsid w:val="001821DB"/>
    <w:rsid w:val="00182FEB"/>
    <w:rsid w:val="001837E3"/>
    <w:rsid w:val="00183DC3"/>
    <w:rsid w:val="001844EF"/>
    <w:rsid w:val="0018510A"/>
    <w:rsid w:val="0018559A"/>
    <w:rsid w:val="00185C0D"/>
    <w:rsid w:val="00185D66"/>
    <w:rsid w:val="0018622C"/>
    <w:rsid w:val="00186897"/>
    <w:rsid w:val="00187B9D"/>
    <w:rsid w:val="00193209"/>
    <w:rsid w:val="00194395"/>
    <w:rsid w:val="0019673D"/>
    <w:rsid w:val="0019779D"/>
    <w:rsid w:val="001A12E4"/>
    <w:rsid w:val="001A25D5"/>
    <w:rsid w:val="001A2FCB"/>
    <w:rsid w:val="001A52D9"/>
    <w:rsid w:val="001A67B4"/>
    <w:rsid w:val="001A7423"/>
    <w:rsid w:val="001A7BD7"/>
    <w:rsid w:val="001B027D"/>
    <w:rsid w:val="001B07E1"/>
    <w:rsid w:val="001B19AD"/>
    <w:rsid w:val="001B1AB4"/>
    <w:rsid w:val="001B1B57"/>
    <w:rsid w:val="001B26F1"/>
    <w:rsid w:val="001B2EA4"/>
    <w:rsid w:val="001B361F"/>
    <w:rsid w:val="001B3CE0"/>
    <w:rsid w:val="001B630A"/>
    <w:rsid w:val="001B7D43"/>
    <w:rsid w:val="001C04A2"/>
    <w:rsid w:val="001C206B"/>
    <w:rsid w:val="001C228B"/>
    <w:rsid w:val="001C454A"/>
    <w:rsid w:val="001C5154"/>
    <w:rsid w:val="001C52E7"/>
    <w:rsid w:val="001C5358"/>
    <w:rsid w:val="001C5C47"/>
    <w:rsid w:val="001C5F41"/>
    <w:rsid w:val="001C645E"/>
    <w:rsid w:val="001C6473"/>
    <w:rsid w:val="001C6C10"/>
    <w:rsid w:val="001C710E"/>
    <w:rsid w:val="001C7524"/>
    <w:rsid w:val="001C7A2B"/>
    <w:rsid w:val="001D02A1"/>
    <w:rsid w:val="001D048F"/>
    <w:rsid w:val="001D1509"/>
    <w:rsid w:val="001D20BE"/>
    <w:rsid w:val="001D2607"/>
    <w:rsid w:val="001D4AB8"/>
    <w:rsid w:val="001D5509"/>
    <w:rsid w:val="001D5C67"/>
    <w:rsid w:val="001D708D"/>
    <w:rsid w:val="001E0A19"/>
    <w:rsid w:val="001E0CFE"/>
    <w:rsid w:val="001E121C"/>
    <w:rsid w:val="001E1724"/>
    <w:rsid w:val="001E1895"/>
    <w:rsid w:val="001E1E58"/>
    <w:rsid w:val="001E3AA0"/>
    <w:rsid w:val="001E3C84"/>
    <w:rsid w:val="001E4D03"/>
    <w:rsid w:val="001E5E9F"/>
    <w:rsid w:val="001E7CC9"/>
    <w:rsid w:val="001F1C75"/>
    <w:rsid w:val="001F23CA"/>
    <w:rsid w:val="001F316E"/>
    <w:rsid w:val="001F4720"/>
    <w:rsid w:val="001F4A92"/>
    <w:rsid w:val="001F4E31"/>
    <w:rsid w:val="001F518B"/>
    <w:rsid w:val="001F5B03"/>
    <w:rsid w:val="001F671E"/>
    <w:rsid w:val="001F7678"/>
    <w:rsid w:val="0020012C"/>
    <w:rsid w:val="00200793"/>
    <w:rsid w:val="00200874"/>
    <w:rsid w:val="002106D5"/>
    <w:rsid w:val="002124AA"/>
    <w:rsid w:val="0021435A"/>
    <w:rsid w:val="00216044"/>
    <w:rsid w:val="0021609F"/>
    <w:rsid w:val="00216DF3"/>
    <w:rsid w:val="00216EDE"/>
    <w:rsid w:val="00217905"/>
    <w:rsid w:val="00221E7E"/>
    <w:rsid w:val="00222FA8"/>
    <w:rsid w:val="002234A5"/>
    <w:rsid w:val="002242C3"/>
    <w:rsid w:val="002250F0"/>
    <w:rsid w:val="00226410"/>
    <w:rsid w:val="00226651"/>
    <w:rsid w:val="00226A63"/>
    <w:rsid w:val="0022719C"/>
    <w:rsid w:val="002276B7"/>
    <w:rsid w:val="0023011C"/>
    <w:rsid w:val="0023069A"/>
    <w:rsid w:val="00230DCC"/>
    <w:rsid w:val="00231553"/>
    <w:rsid w:val="00231B5A"/>
    <w:rsid w:val="002327AA"/>
    <w:rsid w:val="00232A4F"/>
    <w:rsid w:val="00232A7E"/>
    <w:rsid w:val="00236C7E"/>
    <w:rsid w:val="00236EAE"/>
    <w:rsid w:val="00237759"/>
    <w:rsid w:val="00237DE2"/>
    <w:rsid w:val="00242CAC"/>
    <w:rsid w:val="00243AC7"/>
    <w:rsid w:val="00244450"/>
    <w:rsid w:val="00245822"/>
    <w:rsid w:val="00246603"/>
    <w:rsid w:val="0024661E"/>
    <w:rsid w:val="002466AE"/>
    <w:rsid w:val="002469AA"/>
    <w:rsid w:val="00246E48"/>
    <w:rsid w:val="00250D03"/>
    <w:rsid w:val="0025136D"/>
    <w:rsid w:val="00251F2D"/>
    <w:rsid w:val="00251FAA"/>
    <w:rsid w:val="00254063"/>
    <w:rsid w:val="0025444D"/>
    <w:rsid w:val="00254D81"/>
    <w:rsid w:val="002552DA"/>
    <w:rsid w:val="002557CE"/>
    <w:rsid w:val="00255AEB"/>
    <w:rsid w:val="002567AD"/>
    <w:rsid w:val="002601CB"/>
    <w:rsid w:val="002602E1"/>
    <w:rsid w:val="0026062E"/>
    <w:rsid w:val="00260DA9"/>
    <w:rsid w:val="00260DB7"/>
    <w:rsid w:val="00260E1C"/>
    <w:rsid w:val="0026130D"/>
    <w:rsid w:val="002614BE"/>
    <w:rsid w:val="00262C86"/>
    <w:rsid w:val="00262D17"/>
    <w:rsid w:val="002631FF"/>
    <w:rsid w:val="002650ED"/>
    <w:rsid w:val="00265A6C"/>
    <w:rsid w:val="00265E0B"/>
    <w:rsid w:val="00270024"/>
    <w:rsid w:val="00271410"/>
    <w:rsid w:val="00272569"/>
    <w:rsid w:val="00273F7E"/>
    <w:rsid w:val="002742BF"/>
    <w:rsid w:val="00275867"/>
    <w:rsid w:val="002759D4"/>
    <w:rsid w:val="002760EE"/>
    <w:rsid w:val="00276215"/>
    <w:rsid w:val="0027737A"/>
    <w:rsid w:val="00280176"/>
    <w:rsid w:val="00280DC0"/>
    <w:rsid w:val="00281F4C"/>
    <w:rsid w:val="002833E7"/>
    <w:rsid w:val="00283E08"/>
    <w:rsid w:val="00283E42"/>
    <w:rsid w:val="00284EB9"/>
    <w:rsid w:val="00286236"/>
    <w:rsid w:val="00286CA5"/>
    <w:rsid w:val="0029067D"/>
    <w:rsid w:val="00290936"/>
    <w:rsid w:val="0029148F"/>
    <w:rsid w:val="00292DD8"/>
    <w:rsid w:val="00293CE8"/>
    <w:rsid w:val="0029447C"/>
    <w:rsid w:val="00294807"/>
    <w:rsid w:val="00295B72"/>
    <w:rsid w:val="00296966"/>
    <w:rsid w:val="002A02A9"/>
    <w:rsid w:val="002A3A29"/>
    <w:rsid w:val="002A5DB0"/>
    <w:rsid w:val="002A6CBA"/>
    <w:rsid w:val="002A7184"/>
    <w:rsid w:val="002A7FFC"/>
    <w:rsid w:val="002B002B"/>
    <w:rsid w:val="002B23B6"/>
    <w:rsid w:val="002B4776"/>
    <w:rsid w:val="002B4DB0"/>
    <w:rsid w:val="002B5579"/>
    <w:rsid w:val="002B596A"/>
    <w:rsid w:val="002C18AC"/>
    <w:rsid w:val="002C2705"/>
    <w:rsid w:val="002C3FA9"/>
    <w:rsid w:val="002C46F9"/>
    <w:rsid w:val="002C57C8"/>
    <w:rsid w:val="002C5858"/>
    <w:rsid w:val="002C5AA3"/>
    <w:rsid w:val="002C5D4D"/>
    <w:rsid w:val="002C6BFD"/>
    <w:rsid w:val="002C72F3"/>
    <w:rsid w:val="002C778D"/>
    <w:rsid w:val="002D01B0"/>
    <w:rsid w:val="002D1020"/>
    <w:rsid w:val="002D1953"/>
    <w:rsid w:val="002D24B9"/>
    <w:rsid w:val="002D2527"/>
    <w:rsid w:val="002D28C1"/>
    <w:rsid w:val="002D29C4"/>
    <w:rsid w:val="002D2D4C"/>
    <w:rsid w:val="002D3EC1"/>
    <w:rsid w:val="002D41E8"/>
    <w:rsid w:val="002D54F8"/>
    <w:rsid w:val="002D5FE5"/>
    <w:rsid w:val="002D60F8"/>
    <w:rsid w:val="002D7DB5"/>
    <w:rsid w:val="002D7E4E"/>
    <w:rsid w:val="002E1A89"/>
    <w:rsid w:val="002E3222"/>
    <w:rsid w:val="002E5411"/>
    <w:rsid w:val="002E5A1E"/>
    <w:rsid w:val="002E5BF9"/>
    <w:rsid w:val="002E6207"/>
    <w:rsid w:val="002E64BE"/>
    <w:rsid w:val="002E64E3"/>
    <w:rsid w:val="002E7F2E"/>
    <w:rsid w:val="002F0444"/>
    <w:rsid w:val="002F1A5A"/>
    <w:rsid w:val="002F2328"/>
    <w:rsid w:val="002F238A"/>
    <w:rsid w:val="002F3DC7"/>
    <w:rsid w:val="002F43F6"/>
    <w:rsid w:val="002F587D"/>
    <w:rsid w:val="002F5A2D"/>
    <w:rsid w:val="002F5F30"/>
    <w:rsid w:val="002F70CA"/>
    <w:rsid w:val="002F7FF6"/>
    <w:rsid w:val="003002B0"/>
    <w:rsid w:val="00300A11"/>
    <w:rsid w:val="00301FA2"/>
    <w:rsid w:val="003036EE"/>
    <w:rsid w:val="00310030"/>
    <w:rsid w:val="00310793"/>
    <w:rsid w:val="00310A61"/>
    <w:rsid w:val="00311248"/>
    <w:rsid w:val="00311A45"/>
    <w:rsid w:val="00311A87"/>
    <w:rsid w:val="00311C58"/>
    <w:rsid w:val="00311F4B"/>
    <w:rsid w:val="003126E3"/>
    <w:rsid w:val="003132BC"/>
    <w:rsid w:val="00313431"/>
    <w:rsid w:val="00315618"/>
    <w:rsid w:val="00315F50"/>
    <w:rsid w:val="00316BE6"/>
    <w:rsid w:val="0031739E"/>
    <w:rsid w:val="00317543"/>
    <w:rsid w:val="0032056F"/>
    <w:rsid w:val="0032078D"/>
    <w:rsid w:val="003211B5"/>
    <w:rsid w:val="00321AEF"/>
    <w:rsid w:val="00321B22"/>
    <w:rsid w:val="003225B0"/>
    <w:rsid w:val="00323725"/>
    <w:rsid w:val="00323C81"/>
    <w:rsid w:val="00323CCA"/>
    <w:rsid w:val="00323D1B"/>
    <w:rsid w:val="0032494B"/>
    <w:rsid w:val="00324C4D"/>
    <w:rsid w:val="0032535B"/>
    <w:rsid w:val="003255A1"/>
    <w:rsid w:val="00325C3A"/>
    <w:rsid w:val="00326230"/>
    <w:rsid w:val="00327F38"/>
    <w:rsid w:val="003304C8"/>
    <w:rsid w:val="003318CB"/>
    <w:rsid w:val="0033338E"/>
    <w:rsid w:val="003338DD"/>
    <w:rsid w:val="00334012"/>
    <w:rsid w:val="00334CD7"/>
    <w:rsid w:val="00335759"/>
    <w:rsid w:val="0033604C"/>
    <w:rsid w:val="003366AD"/>
    <w:rsid w:val="00337206"/>
    <w:rsid w:val="00337EA8"/>
    <w:rsid w:val="0034012A"/>
    <w:rsid w:val="00340B9E"/>
    <w:rsid w:val="0034113C"/>
    <w:rsid w:val="003435C2"/>
    <w:rsid w:val="00343BFA"/>
    <w:rsid w:val="003459FF"/>
    <w:rsid w:val="00345AF4"/>
    <w:rsid w:val="003461DD"/>
    <w:rsid w:val="00346397"/>
    <w:rsid w:val="003472F1"/>
    <w:rsid w:val="00350B54"/>
    <w:rsid w:val="00350B59"/>
    <w:rsid w:val="0035108F"/>
    <w:rsid w:val="00351814"/>
    <w:rsid w:val="003526C1"/>
    <w:rsid w:val="0035285C"/>
    <w:rsid w:val="00353B0D"/>
    <w:rsid w:val="003544F9"/>
    <w:rsid w:val="00355507"/>
    <w:rsid w:val="003555E7"/>
    <w:rsid w:val="00356017"/>
    <w:rsid w:val="00356FB0"/>
    <w:rsid w:val="00357E1B"/>
    <w:rsid w:val="00360523"/>
    <w:rsid w:val="0036063A"/>
    <w:rsid w:val="00363C22"/>
    <w:rsid w:val="00370395"/>
    <w:rsid w:val="003729C5"/>
    <w:rsid w:val="00374030"/>
    <w:rsid w:val="0037441C"/>
    <w:rsid w:val="00374A71"/>
    <w:rsid w:val="00376789"/>
    <w:rsid w:val="00377167"/>
    <w:rsid w:val="00381165"/>
    <w:rsid w:val="003818DD"/>
    <w:rsid w:val="00381989"/>
    <w:rsid w:val="00381E87"/>
    <w:rsid w:val="00382B3C"/>
    <w:rsid w:val="00383E69"/>
    <w:rsid w:val="00384E59"/>
    <w:rsid w:val="003856AE"/>
    <w:rsid w:val="00386085"/>
    <w:rsid w:val="00386BC6"/>
    <w:rsid w:val="003877C9"/>
    <w:rsid w:val="003909B5"/>
    <w:rsid w:val="003909DF"/>
    <w:rsid w:val="00391BD1"/>
    <w:rsid w:val="00391C8E"/>
    <w:rsid w:val="003920CF"/>
    <w:rsid w:val="0039242A"/>
    <w:rsid w:val="00392A8F"/>
    <w:rsid w:val="00392CAA"/>
    <w:rsid w:val="00392EAE"/>
    <w:rsid w:val="00393E3A"/>
    <w:rsid w:val="003941A3"/>
    <w:rsid w:val="00395944"/>
    <w:rsid w:val="00396030"/>
    <w:rsid w:val="00396CA7"/>
    <w:rsid w:val="003970D8"/>
    <w:rsid w:val="003979A8"/>
    <w:rsid w:val="003A0E5B"/>
    <w:rsid w:val="003A13BB"/>
    <w:rsid w:val="003A2E68"/>
    <w:rsid w:val="003A30FF"/>
    <w:rsid w:val="003A332D"/>
    <w:rsid w:val="003A3940"/>
    <w:rsid w:val="003A4F35"/>
    <w:rsid w:val="003A5028"/>
    <w:rsid w:val="003A5F1F"/>
    <w:rsid w:val="003A6479"/>
    <w:rsid w:val="003A7FB4"/>
    <w:rsid w:val="003B2AF7"/>
    <w:rsid w:val="003B2CA4"/>
    <w:rsid w:val="003B2ECF"/>
    <w:rsid w:val="003B318C"/>
    <w:rsid w:val="003B324E"/>
    <w:rsid w:val="003B795A"/>
    <w:rsid w:val="003C0831"/>
    <w:rsid w:val="003C0D65"/>
    <w:rsid w:val="003C17D9"/>
    <w:rsid w:val="003C1C03"/>
    <w:rsid w:val="003C28AB"/>
    <w:rsid w:val="003C39AB"/>
    <w:rsid w:val="003C4A4B"/>
    <w:rsid w:val="003C4E83"/>
    <w:rsid w:val="003C5082"/>
    <w:rsid w:val="003C54C6"/>
    <w:rsid w:val="003C5A8A"/>
    <w:rsid w:val="003C684E"/>
    <w:rsid w:val="003C6DAB"/>
    <w:rsid w:val="003D0244"/>
    <w:rsid w:val="003D1936"/>
    <w:rsid w:val="003D2318"/>
    <w:rsid w:val="003D3D71"/>
    <w:rsid w:val="003D3E2C"/>
    <w:rsid w:val="003D4536"/>
    <w:rsid w:val="003D67F3"/>
    <w:rsid w:val="003D6A31"/>
    <w:rsid w:val="003E0A9C"/>
    <w:rsid w:val="003E43AC"/>
    <w:rsid w:val="003E4B8F"/>
    <w:rsid w:val="003E50F0"/>
    <w:rsid w:val="003E7BD9"/>
    <w:rsid w:val="003F08A5"/>
    <w:rsid w:val="003F22C7"/>
    <w:rsid w:val="003F237C"/>
    <w:rsid w:val="003F2537"/>
    <w:rsid w:val="003F2737"/>
    <w:rsid w:val="003F390B"/>
    <w:rsid w:val="003F3EC4"/>
    <w:rsid w:val="003F3FCA"/>
    <w:rsid w:val="003F401B"/>
    <w:rsid w:val="003F44BE"/>
    <w:rsid w:val="003F5C09"/>
    <w:rsid w:val="003F6100"/>
    <w:rsid w:val="003F629C"/>
    <w:rsid w:val="003F68B3"/>
    <w:rsid w:val="003F7A86"/>
    <w:rsid w:val="003F7DEF"/>
    <w:rsid w:val="00400A29"/>
    <w:rsid w:val="00400F79"/>
    <w:rsid w:val="004010DC"/>
    <w:rsid w:val="00401D64"/>
    <w:rsid w:val="004028C6"/>
    <w:rsid w:val="00402C0C"/>
    <w:rsid w:val="00402DF3"/>
    <w:rsid w:val="00402E47"/>
    <w:rsid w:val="004036DF"/>
    <w:rsid w:val="00403FE5"/>
    <w:rsid w:val="00405642"/>
    <w:rsid w:val="004064C8"/>
    <w:rsid w:val="00406FB2"/>
    <w:rsid w:val="0040784A"/>
    <w:rsid w:val="004102F9"/>
    <w:rsid w:val="00410590"/>
    <w:rsid w:val="00411DE5"/>
    <w:rsid w:val="0041257F"/>
    <w:rsid w:val="004134E8"/>
    <w:rsid w:val="00413A2A"/>
    <w:rsid w:val="00413B36"/>
    <w:rsid w:val="00413C9C"/>
    <w:rsid w:val="00414631"/>
    <w:rsid w:val="0041771D"/>
    <w:rsid w:val="0041775A"/>
    <w:rsid w:val="00417A47"/>
    <w:rsid w:val="00420856"/>
    <w:rsid w:val="00421E2A"/>
    <w:rsid w:val="004227BF"/>
    <w:rsid w:val="0042334F"/>
    <w:rsid w:val="00423550"/>
    <w:rsid w:val="00423607"/>
    <w:rsid w:val="00424012"/>
    <w:rsid w:val="00424647"/>
    <w:rsid w:val="004253C7"/>
    <w:rsid w:val="004253FD"/>
    <w:rsid w:val="004259DD"/>
    <w:rsid w:val="00426209"/>
    <w:rsid w:val="00426684"/>
    <w:rsid w:val="004269DB"/>
    <w:rsid w:val="00427C30"/>
    <w:rsid w:val="004319AD"/>
    <w:rsid w:val="00431A8D"/>
    <w:rsid w:val="0043213F"/>
    <w:rsid w:val="004360FF"/>
    <w:rsid w:val="00437672"/>
    <w:rsid w:val="0044018B"/>
    <w:rsid w:val="004409E5"/>
    <w:rsid w:val="004412D1"/>
    <w:rsid w:val="004429C8"/>
    <w:rsid w:val="00442CE4"/>
    <w:rsid w:val="004439EF"/>
    <w:rsid w:val="00443B41"/>
    <w:rsid w:val="0044446E"/>
    <w:rsid w:val="004448DC"/>
    <w:rsid w:val="00445D9B"/>
    <w:rsid w:val="00447DF9"/>
    <w:rsid w:val="00453CD6"/>
    <w:rsid w:val="00455740"/>
    <w:rsid w:val="00455C19"/>
    <w:rsid w:val="00455EFF"/>
    <w:rsid w:val="00456776"/>
    <w:rsid w:val="00457CAC"/>
    <w:rsid w:val="00457D29"/>
    <w:rsid w:val="00460D4B"/>
    <w:rsid w:val="00460ECD"/>
    <w:rsid w:val="00462366"/>
    <w:rsid w:val="0046333B"/>
    <w:rsid w:val="004679F9"/>
    <w:rsid w:val="0047112E"/>
    <w:rsid w:val="0047126A"/>
    <w:rsid w:val="00473683"/>
    <w:rsid w:val="004737EB"/>
    <w:rsid w:val="0047797A"/>
    <w:rsid w:val="00477A80"/>
    <w:rsid w:val="00477A93"/>
    <w:rsid w:val="00477CE6"/>
    <w:rsid w:val="00477F88"/>
    <w:rsid w:val="004813AB"/>
    <w:rsid w:val="00481CAF"/>
    <w:rsid w:val="004834E0"/>
    <w:rsid w:val="0048377B"/>
    <w:rsid w:val="00485A84"/>
    <w:rsid w:val="0048636F"/>
    <w:rsid w:val="00486A68"/>
    <w:rsid w:val="0048734C"/>
    <w:rsid w:val="004873B6"/>
    <w:rsid w:val="0049067D"/>
    <w:rsid w:val="0049234C"/>
    <w:rsid w:val="00492743"/>
    <w:rsid w:val="004927EF"/>
    <w:rsid w:val="0049346A"/>
    <w:rsid w:val="004934F4"/>
    <w:rsid w:val="00495543"/>
    <w:rsid w:val="00496DD4"/>
    <w:rsid w:val="004970F6"/>
    <w:rsid w:val="0049727C"/>
    <w:rsid w:val="00497294"/>
    <w:rsid w:val="00497703"/>
    <w:rsid w:val="004A1434"/>
    <w:rsid w:val="004A1F0E"/>
    <w:rsid w:val="004A26DF"/>
    <w:rsid w:val="004A2980"/>
    <w:rsid w:val="004A2FB8"/>
    <w:rsid w:val="004A305A"/>
    <w:rsid w:val="004A30D6"/>
    <w:rsid w:val="004A3407"/>
    <w:rsid w:val="004A350D"/>
    <w:rsid w:val="004A46D8"/>
    <w:rsid w:val="004A4A0A"/>
    <w:rsid w:val="004A54B5"/>
    <w:rsid w:val="004A5E5F"/>
    <w:rsid w:val="004A6266"/>
    <w:rsid w:val="004A6368"/>
    <w:rsid w:val="004B057B"/>
    <w:rsid w:val="004B0603"/>
    <w:rsid w:val="004B06AE"/>
    <w:rsid w:val="004B2033"/>
    <w:rsid w:val="004B3C11"/>
    <w:rsid w:val="004B3E40"/>
    <w:rsid w:val="004B4084"/>
    <w:rsid w:val="004B4685"/>
    <w:rsid w:val="004B58DC"/>
    <w:rsid w:val="004B7057"/>
    <w:rsid w:val="004B7F79"/>
    <w:rsid w:val="004C01EC"/>
    <w:rsid w:val="004C1058"/>
    <w:rsid w:val="004C1348"/>
    <w:rsid w:val="004C3B3D"/>
    <w:rsid w:val="004C483E"/>
    <w:rsid w:val="004C523D"/>
    <w:rsid w:val="004C7AAC"/>
    <w:rsid w:val="004D013F"/>
    <w:rsid w:val="004D1E3B"/>
    <w:rsid w:val="004D25E1"/>
    <w:rsid w:val="004D2E26"/>
    <w:rsid w:val="004D332F"/>
    <w:rsid w:val="004D3672"/>
    <w:rsid w:val="004D3E3E"/>
    <w:rsid w:val="004D403F"/>
    <w:rsid w:val="004D55C3"/>
    <w:rsid w:val="004D6C5F"/>
    <w:rsid w:val="004D79DF"/>
    <w:rsid w:val="004E4268"/>
    <w:rsid w:val="004E4532"/>
    <w:rsid w:val="004E5665"/>
    <w:rsid w:val="004E7522"/>
    <w:rsid w:val="004E7789"/>
    <w:rsid w:val="004F1952"/>
    <w:rsid w:val="004F2BE9"/>
    <w:rsid w:val="004F2C2D"/>
    <w:rsid w:val="004F31D8"/>
    <w:rsid w:val="004F6283"/>
    <w:rsid w:val="00500DBE"/>
    <w:rsid w:val="00501215"/>
    <w:rsid w:val="005012A3"/>
    <w:rsid w:val="00501885"/>
    <w:rsid w:val="005019DE"/>
    <w:rsid w:val="00501F3C"/>
    <w:rsid w:val="00503181"/>
    <w:rsid w:val="005042A3"/>
    <w:rsid w:val="005048B1"/>
    <w:rsid w:val="005062A1"/>
    <w:rsid w:val="0050647F"/>
    <w:rsid w:val="0050687E"/>
    <w:rsid w:val="0050775F"/>
    <w:rsid w:val="00507B1A"/>
    <w:rsid w:val="00507CA2"/>
    <w:rsid w:val="005101BE"/>
    <w:rsid w:val="00510539"/>
    <w:rsid w:val="005105F7"/>
    <w:rsid w:val="0051215D"/>
    <w:rsid w:val="0051242D"/>
    <w:rsid w:val="005131D9"/>
    <w:rsid w:val="0051381F"/>
    <w:rsid w:val="00513BDF"/>
    <w:rsid w:val="0051406C"/>
    <w:rsid w:val="00514574"/>
    <w:rsid w:val="00515756"/>
    <w:rsid w:val="005157F0"/>
    <w:rsid w:val="00516DD8"/>
    <w:rsid w:val="0052012A"/>
    <w:rsid w:val="00520834"/>
    <w:rsid w:val="00520A46"/>
    <w:rsid w:val="005219C1"/>
    <w:rsid w:val="00521A09"/>
    <w:rsid w:val="00521A1B"/>
    <w:rsid w:val="00522539"/>
    <w:rsid w:val="00523442"/>
    <w:rsid w:val="00523B40"/>
    <w:rsid w:val="005253B8"/>
    <w:rsid w:val="005253DC"/>
    <w:rsid w:val="00525C4F"/>
    <w:rsid w:val="005265AD"/>
    <w:rsid w:val="00526CA9"/>
    <w:rsid w:val="00526E2F"/>
    <w:rsid w:val="0052731F"/>
    <w:rsid w:val="00531B34"/>
    <w:rsid w:val="00532089"/>
    <w:rsid w:val="0053357C"/>
    <w:rsid w:val="00533BA1"/>
    <w:rsid w:val="00534629"/>
    <w:rsid w:val="00537747"/>
    <w:rsid w:val="005404D7"/>
    <w:rsid w:val="00541123"/>
    <w:rsid w:val="00541373"/>
    <w:rsid w:val="00541391"/>
    <w:rsid w:val="00541C9F"/>
    <w:rsid w:val="00542364"/>
    <w:rsid w:val="00542707"/>
    <w:rsid w:val="00544D35"/>
    <w:rsid w:val="00545CB0"/>
    <w:rsid w:val="00545FFD"/>
    <w:rsid w:val="005467DD"/>
    <w:rsid w:val="00546F70"/>
    <w:rsid w:val="00547989"/>
    <w:rsid w:val="00550E64"/>
    <w:rsid w:val="00551AA8"/>
    <w:rsid w:val="00551CA4"/>
    <w:rsid w:val="00553393"/>
    <w:rsid w:val="0055397A"/>
    <w:rsid w:val="0055455E"/>
    <w:rsid w:val="00554917"/>
    <w:rsid w:val="005558AB"/>
    <w:rsid w:val="00555E28"/>
    <w:rsid w:val="00556024"/>
    <w:rsid w:val="00556341"/>
    <w:rsid w:val="0055657D"/>
    <w:rsid w:val="005565AD"/>
    <w:rsid w:val="005575CE"/>
    <w:rsid w:val="00560D75"/>
    <w:rsid w:val="00560EB6"/>
    <w:rsid w:val="00561676"/>
    <w:rsid w:val="00561C6E"/>
    <w:rsid w:val="00562788"/>
    <w:rsid w:val="00562ED9"/>
    <w:rsid w:val="00563D2E"/>
    <w:rsid w:val="005648E9"/>
    <w:rsid w:val="005657A1"/>
    <w:rsid w:val="00565E21"/>
    <w:rsid w:val="00567D19"/>
    <w:rsid w:val="0057091E"/>
    <w:rsid w:val="0057190F"/>
    <w:rsid w:val="0057363B"/>
    <w:rsid w:val="00573E19"/>
    <w:rsid w:val="00574440"/>
    <w:rsid w:val="00575055"/>
    <w:rsid w:val="005753C7"/>
    <w:rsid w:val="0057742B"/>
    <w:rsid w:val="0057763A"/>
    <w:rsid w:val="00577D24"/>
    <w:rsid w:val="0058124C"/>
    <w:rsid w:val="00581BDF"/>
    <w:rsid w:val="00583BE1"/>
    <w:rsid w:val="0058463D"/>
    <w:rsid w:val="00584803"/>
    <w:rsid w:val="00584F23"/>
    <w:rsid w:val="0058697D"/>
    <w:rsid w:val="005870D5"/>
    <w:rsid w:val="00587B3F"/>
    <w:rsid w:val="00590387"/>
    <w:rsid w:val="00590923"/>
    <w:rsid w:val="00591A4F"/>
    <w:rsid w:val="0059461F"/>
    <w:rsid w:val="00595A32"/>
    <w:rsid w:val="00595A68"/>
    <w:rsid w:val="005966A5"/>
    <w:rsid w:val="005969B6"/>
    <w:rsid w:val="00596A08"/>
    <w:rsid w:val="00597492"/>
    <w:rsid w:val="005A0EBD"/>
    <w:rsid w:val="005A1898"/>
    <w:rsid w:val="005A1DA4"/>
    <w:rsid w:val="005A2456"/>
    <w:rsid w:val="005A2891"/>
    <w:rsid w:val="005A336A"/>
    <w:rsid w:val="005A394E"/>
    <w:rsid w:val="005A3992"/>
    <w:rsid w:val="005A5070"/>
    <w:rsid w:val="005A5DB8"/>
    <w:rsid w:val="005A7E3D"/>
    <w:rsid w:val="005B02AB"/>
    <w:rsid w:val="005B2211"/>
    <w:rsid w:val="005B2926"/>
    <w:rsid w:val="005B2C5A"/>
    <w:rsid w:val="005B7E4B"/>
    <w:rsid w:val="005C0E4A"/>
    <w:rsid w:val="005C16B2"/>
    <w:rsid w:val="005C2E8A"/>
    <w:rsid w:val="005C3272"/>
    <w:rsid w:val="005C32A1"/>
    <w:rsid w:val="005C3A78"/>
    <w:rsid w:val="005C436B"/>
    <w:rsid w:val="005C5842"/>
    <w:rsid w:val="005C646A"/>
    <w:rsid w:val="005C69C9"/>
    <w:rsid w:val="005C6A11"/>
    <w:rsid w:val="005C6A46"/>
    <w:rsid w:val="005C6C34"/>
    <w:rsid w:val="005C7D0A"/>
    <w:rsid w:val="005D0626"/>
    <w:rsid w:val="005D06DF"/>
    <w:rsid w:val="005D08E1"/>
    <w:rsid w:val="005D0B02"/>
    <w:rsid w:val="005D19B9"/>
    <w:rsid w:val="005D2269"/>
    <w:rsid w:val="005D27D0"/>
    <w:rsid w:val="005D2C22"/>
    <w:rsid w:val="005D5FE7"/>
    <w:rsid w:val="005D5FEC"/>
    <w:rsid w:val="005E0119"/>
    <w:rsid w:val="005E028B"/>
    <w:rsid w:val="005E0CAC"/>
    <w:rsid w:val="005E1399"/>
    <w:rsid w:val="005E1688"/>
    <w:rsid w:val="005E16AC"/>
    <w:rsid w:val="005E2234"/>
    <w:rsid w:val="005E2744"/>
    <w:rsid w:val="005E327B"/>
    <w:rsid w:val="005E3347"/>
    <w:rsid w:val="005E3782"/>
    <w:rsid w:val="005E44F3"/>
    <w:rsid w:val="005E5C79"/>
    <w:rsid w:val="005E5FEF"/>
    <w:rsid w:val="005E740C"/>
    <w:rsid w:val="005F0493"/>
    <w:rsid w:val="005F0766"/>
    <w:rsid w:val="005F0A2B"/>
    <w:rsid w:val="005F15D5"/>
    <w:rsid w:val="005F1C42"/>
    <w:rsid w:val="005F41A8"/>
    <w:rsid w:val="005F4441"/>
    <w:rsid w:val="005F48B3"/>
    <w:rsid w:val="005F56D5"/>
    <w:rsid w:val="005F594F"/>
    <w:rsid w:val="005F64E0"/>
    <w:rsid w:val="005F7BD8"/>
    <w:rsid w:val="00600C3E"/>
    <w:rsid w:val="006010A0"/>
    <w:rsid w:val="00601138"/>
    <w:rsid w:val="0060130F"/>
    <w:rsid w:val="006015B9"/>
    <w:rsid w:val="00601A87"/>
    <w:rsid w:val="006039F3"/>
    <w:rsid w:val="00606523"/>
    <w:rsid w:val="00606B89"/>
    <w:rsid w:val="006078DE"/>
    <w:rsid w:val="00610651"/>
    <w:rsid w:val="006109D4"/>
    <w:rsid w:val="00610AAD"/>
    <w:rsid w:val="00610F60"/>
    <w:rsid w:val="00611147"/>
    <w:rsid w:val="00611FE3"/>
    <w:rsid w:val="00612355"/>
    <w:rsid w:val="006123CC"/>
    <w:rsid w:val="006126E3"/>
    <w:rsid w:val="006127DA"/>
    <w:rsid w:val="00612D5C"/>
    <w:rsid w:val="00613860"/>
    <w:rsid w:val="006141AE"/>
    <w:rsid w:val="00614408"/>
    <w:rsid w:val="006162D5"/>
    <w:rsid w:val="00616DB4"/>
    <w:rsid w:val="00617950"/>
    <w:rsid w:val="00620991"/>
    <w:rsid w:val="00620A3C"/>
    <w:rsid w:val="0062115D"/>
    <w:rsid w:val="006211E3"/>
    <w:rsid w:val="00621A22"/>
    <w:rsid w:val="0062259F"/>
    <w:rsid w:val="006228F6"/>
    <w:rsid w:val="00623D20"/>
    <w:rsid w:val="006240A8"/>
    <w:rsid w:val="0062442E"/>
    <w:rsid w:val="0062469E"/>
    <w:rsid w:val="00624C2C"/>
    <w:rsid w:val="0062697B"/>
    <w:rsid w:val="006308D1"/>
    <w:rsid w:val="00630D99"/>
    <w:rsid w:val="006322BE"/>
    <w:rsid w:val="006336DC"/>
    <w:rsid w:val="00634D74"/>
    <w:rsid w:val="00636CC7"/>
    <w:rsid w:val="00637005"/>
    <w:rsid w:val="00637163"/>
    <w:rsid w:val="00637392"/>
    <w:rsid w:val="00637EAA"/>
    <w:rsid w:val="006416E7"/>
    <w:rsid w:val="00641964"/>
    <w:rsid w:val="006451B9"/>
    <w:rsid w:val="0064620A"/>
    <w:rsid w:val="00646394"/>
    <w:rsid w:val="00647BC0"/>
    <w:rsid w:val="006513DD"/>
    <w:rsid w:val="00651A06"/>
    <w:rsid w:val="00651F58"/>
    <w:rsid w:val="006522C8"/>
    <w:rsid w:val="0065293E"/>
    <w:rsid w:val="00652A9C"/>
    <w:rsid w:val="00653235"/>
    <w:rsid w:val="00653D8B"/>
    <w:rsid w:val="00656A2E"/>
    <w:rsid w:val="00656E3C"/>
    <w:rsid w:val="006571E3"/>
    <w:rsid w:val="006576F3"/>
    <w:rsid w:val="00657E16"/>
    <w:rsid w:val="006601AF"/>
    <w:rsid w:val="00660570"/>
    <w:rsid w:val="006612B7"/>
    <w:rsid w:val="00662000"/>
    <w:rsid w:val="00662242"/>
    <w:rsid w:val="006622A4"/>
    <w:rsid w:val="0066463A"/>
    <w:rsid w:val="00664C75"/>
    <w:rsid w:val="0066500B"/>
    <w:rsid w:val="00665565"/>
    <w:rsid w:val="00666694"/>
    <w:rsid w:val="00667680"/>
    <w:rsid w:val="006711F0"/>
    <w:rsid w:val="00672CD9"/>
    <w:rsid w:val="00673E2D"/>
    <w:rsid w:val="00674457"/>
    <w:rsid w:val="00675472"/>
    <w:rsid w:val="00675D00"/>
    <w:rsid w:val="00675EC4"/>
    <w:rsid w:val="0068092D"/>
    <w:rsid w:val="00680C52"/>
    <w:rsid w:val="0068426D"/>
    <w:rsid w:val="00685A53"/>
    <w:rsid w:val="00686628"/>
    <w:rsid w:val="00686E38"/>
    <w:rsid w:val="00687B7D"/>
    <w:rsid w:val="00690032"/>
    <w:rsid w:val="006901DF"/>
    <w:rsid w:val="006908C1"/>
    <w:rsid w:val="00690B53"/>
    <w:rsid w:val="00690C51"/>
    <w:rsid w:val="00691BD9"/>
    <w:rsid w:val="006931ED"/>
    <w:rsid w:val="00694113"/>
    <w:rsid w:val="006943D0"/>
    <w:rsid w:val="00694685"/>
    <w:rsid w:val="00694885"/>
    <w:rsid w:val="00694F3E"/>
    <w:rsid w:val="006956E5"/>
    <w:rsid w:val="00696701"/>
    <w:rsid w:val="00696CA2"/>
    <w:rsid w:val="006A04FC"/>
    <w:rsid w:val="006A0AAA"/>
    <w:rsid w:val="006A0C8F"/>
    <w:rsid w:val="006A1821"/>
    <w:rsid w:val="006A1D9D"/>
    <w:rsid w:val="006A25F3"/>
    <w:rsid w:val="006A273A"/>
    <w:rsid w:val="006A2D58"/>
    <w:rsid w:val="006A32C9"/>
    <w:rsid w:val="006A34FC"/>
    <w:rsid w:val="006A37B7"/>
    <w:rsid w:val="006A3B72"/>
    <w:rsid w:val="006A3E19"/>
    <w:rsid w:val="006A42DF"/>
    <w:rsid w:val="006A5B5A"/>
    <w:rsid w:val="006A5C10"/>
    <w:rsid w:val="006A607A"/>
    <w:rsid w:val="006A6F7C"/>
    <w:rsid w:val="006A75A2"/>
    <w:rsid w:val="006A7670"/>
    <w:rsid w:val="006B09E0"/>
    <w:rsid w:val="006B1417"/>
    <w:rsid w:val="006B193F"/>
    <w:rsid w:val="006B1C3E"/>
    <w:rsid w:val="006B2D53"/>
    <w:rsid w:val="006B3084"/>
    <w:rsid w:val="006B355C"/>
    <w:rsid w:val="006B4202"/>
    <w:rsid w:val="006B4223"/>
    <w:rsid w:val="006B462D"/>
    <w:rsid w:val="006B59DC"/>
    <w:rsid w:val="006B6B12"/>
    <w:rsid w:val="006B7E05"/>
    <w:rsid w:val="006C07B3"/>
    <w:rsid w:val="006C1058"/>
    <w:rsid w:val="006C3588"/>
    <w:rsid w:val="006C60A3"/>
    <w:rsid w:val="006C60FE"/>
    <w:rsid w:val="006C636F"/>
    <w:rsid w:val="006C6588"/>
    <w:rsid w:val="006C6C19"/>
    <w:rsid w:val="006D1070"/>
    <w:rsid w:val="006D4620"/>
    <w:rsid w:val="006D5DC6"/>
    <w:rsid w:val="006D6580"/>
    <w:rsid w:val="006D746A"/>
    <w:rsid w:val="006D7657"/>
    <w:rsid w:val="006D792A"/>
    <w:rsid w:val="006E07FB"/>
    <w:rsid w:val="006E2101"/>
    <w:rsid w:val="006E564F"/>
    <w:rsid w:val="006E7FE8"/>
    <w:rsid w:val="006F1856"/>
    <w:rsid w:val="006F1DC0"/>
    <w:rsid w:val="006F20C0"/>
    <w:rsid w:val="006F2B9E"/>
    <w:rsid w:val="006F315E"/>
    <w:rsid w:val="006F3377"/>
    <w:rsid w:val="006F385B"/>
    <w:rsid w:val="006F40CA"/>
    <w:rsid w:val="006F4CCE"/>
    <w:rsid w:val="006F697A"/>
    <w:rsid w:val="006F7EFF"/>
    <w:rsid w:val="00701340"/>
    <w:rsid w:val="00702E98"/>
    <w:rsid w:val="0070402E"/>
    <w:rsid w:val="00705B9E"/>
    <w:rsid w:val="00706972"/>
    <w:rsid w:val="00706DE2"/>
    <w:rsid w:val="00707060"/>
    <w:rsid w:val="00707DB7"/>
    <w:rsid w:val="0071022E"/>
    <w:rsid w:val="0071081B"/>
    <w:rsid w:val="00711273"/>
    <w:rsid w:val="007116D3"/>
    <w:rsid w:val="00711853"/>
    <w:rsid w:val="007119B1"/>
    <w:rsid w:val="00714189"/>
    <w:rsid w:val="007152DE"/>
    <w:rsid w:val="00716299"/>
    <w:rsid w:val="00716C97"/>
    <w:rsid w:val="00720989"/>
    <w:rsid w:val="00720BC8"/>
    <w:rsid w:val="00721836"/>
    <w:rsid w:val="00721B55"/>
    <w:rsid w:val="00721DCB"/>
    <w:rsid w:val="00722A6F"/>
    <w:rsid w:val="00722AC9"/>
    <w:rsid w:val="00723285"/>
    <w:rsid w:val="0072340D"/>
    <w:rsid w:val="00724B5B"/>
    <w:rsid w:val="00724DCE"/>
    <w:rsid w:val="00725919"/>
    <w:rsid w:val="00725D64"/>
    <w:rsid w:val="007260F5"/>
    <w:rsid w:val="00727118"/>
    <w:rsid w:val="00727FB8"/>
    <w:rsid w:val="00730A32"/>
    <w:rsid w:val="00730CCD"/>
    <w:rsid w:val="00730DE4"/>
    <w:rsid w:val="0073287A"/>
    <w:rsid w:val="00732E5C"/>
    <w:rsid w:val="00733DD8"/>
    <w:rsid w:val="007341AB"/>
    <w:rsid w:val="00735646"/>
    <w:rsid w:val="00735B39"/>
    <w:rsid w:val="007365F9"/>
    <w:rsid w:val="00736652"/>
    <w:rsid w:val="00737A34"/>
    <w:rsid w:val="00742B80"/>
    <w:rsid w:val="00742CAB"/>
    <w:rsid w:val="007473CC"/>
    <w:rsid w:val="007479D9"/>
    <w:rsid w:val="00747F3F"/>
    <w:rsid w:val="00750E95"/>
    <w:rsid w:val="0075123D"/>
    <w:rsid w:val="007519A3"/>
    <w:rsid w:val="007527B7"/>
    <w:rsid w:val="00753A28"/>
    <w:rsid w:val="007543CD"/>
    <w:rsid w:val="00754AFF"/>
    <w:rsid w:val="007569DD"/>
    <w:rsid w:val="00756E5B"/>
    <w:rsid w:val="00756E82"/>
    <w:rsid w:val="00757653"/>
    <w:rsid w:val="007577F6"/>
    <w:rsid w:val="00757F5F"/>
    <w:rsid w:val="00761B28"/>
    <w:rsid w:val="007620A5"/>
    <w:rsid w:val="007623A5"/>
    <w:rsid w:val="00764646"/>
    <w:rsid w:val="0076550E"/>
    <w:rsid w:val="007657AE"/>
    <w:rsid w:val="00765831"/>
    <w:rsid w:val="00765DA4"/>
    <w:rsid w:val="007664C6"/>
    <w:rsid w:val="007673B4"/>
    <w:rsid w:val="00767F40"/>
    <w:rsid w:val="00770BB1"/>
    <w:rsid w:val="0077181A"/>
    <w:rsid w:val="00772060"/>
    <w:rsid w:val="00772A6F"/>
    <w:rsid w:val="00773BA0"/>
    <w:rsid w:val="00776719"/>
    <w:rsid w:val="007774AC"/>
    <w:rsid w:val="00780A37"/>
    <w:rsid w:val="00782726"/>
    <w:rsid w:val="00782C40"/>
    <w:rsid w:val="00782E7D"/>
    <w:rsid w:val="00784639"/>
    <w:rsid w:val="0078468E"/>
    <w:rsid w:val="007846CF"/>
    <w:rsid w:val="00786960"/>
    <w:rsid w:val="00786BA4"/>
    <w:rsid w:val="00790CB4"/>
    <w:rsid w:val="007917D2"/>
    <w:rsid w:val="007918C4"/>
    <w:rsid w:val="0079278A"/>
    <w:rsid w:val="00792D82"/>
    <w:rsid w:val="00792DD7"/>
    <w:rsid w:val="00793EEB"/>
    <w:rsid w:val="007948EB"/>
    <w:rsid w:val="00794AC4"/>
    <w:rsid w:val="00795286"/>
    <w:rsid w:val="00795D4A"/>
    <w:rsid w:val="0079649F"/>
    <w:rsid w:val="00796FF7"/>
    <w:rsid w:val="007A150C"/>
    <w:rsid w:val="007A277A"/>
    <w:rsid w:val="007A2F14"/>
    <w:rsid w:val="007A44BE"/>
    <w:rsid w:val="007A4AC6"/>
    <w:rsid w:val="007A52F1"/>
    <w:rsid w:val="007A60D1"/>
    <w:rsid w:val="007A6BA6"/>
    <w:rsid w:val="007A7787"/>
    <w:rsid w:val="007A7854"/>
    <w:rsid w:val="007A7F0E"/>
    <w:rsid w:val="007B0951"/>
    <w:rsid w:val="007B0BD6"/>
    <w:rsid w:val="007B0F66"/>
    <w:rsid w:val="007B1B5C"/>
    <w:rsid w:val="007B21B7"/>
    <w:rsid w:val="007B452E"/>
    <w:rsid w:val="007B481B"/>
    <w:rsid w:val="007B540D"/>
    <w:rsid w:val="007B61D3"/>
    <w:rsid w:val="007B6412"/>
    <w:rsid w:val="007C02F4"/>
    <w:rsid w:val="007C06E6"/>
    <w:rsid w:val="007C0B68"/>
    <w:rsid w:val="007C0FBE"/>
    <w:rsid w:val="007C1B54"/>
    <w:rsid w:val="007C1E64"/>
    <w:rsid w:val="007C4ED5"/>
    <w:rsid w:val="007C56FD"/>
    <w:rsid w:val="007C5A06"/>
    <w:rsid w:val="007C5B33"/>
    <w:rsid w:val="007C6F86"/>
    <w:rsid w:val="007C70D9"/>
    <w:rsid w:val="007C7C9E"/>
    <w:rsid w:val="007D142B"/>
    <w:rsid w:val="007D2527"/>
    <w:rsid w:val="007D6417"/>
    <w:rsid w:val="007D7626"/>
    <w:rsid w:val="007D77CA"/>
    <w:rsid w:val="007D7888"/>
    <w:rsid w:val="007E0346"/>
    <w:rsid w:val="007E0599"/>
    <w:rsid w:val="007E0729"/>
    <w:rsid w:val="007E0842"/>
    <w:rsid w:val="007E0C1D"/>
    <w:rsid w:val="007E1995"/>
    <w:rsid w:val="007E1A42"/>
    <w:rsid w:val="007E2305"/>
    <w:rsid w:val="007E2367"/>
    <w:rsid w:val="007E2B86"/>
    <w:rsid w:val="007E3341"/>
    <w:rsid w:val="007E40C5"/>
    <w:rsid w:val="007E5237"/>
    <w:rsid w:val="007E6C97"/>
    <w:rsid w:val="007E755B"/>
    <w:rsid w:val="007F1505"/>
    <w:rsid w:val="007F1613"/>
    <w:rsid w:val="007F32EC"/>
    <w:rsid w:val="007F3B9B"/>
    <w:rsid w:val="007F40A7"/>
    <w:rsid w:val="007F5AFC"/>
    <w:rsid w:val="007F5B00"/>
    <w:rsid w:val="007F62A8"/>
    <w:rsid w:val="007F67BE"/>
    <w:rsid w:val="007F6A4F"/>
    <w:rsid w:val="007F7470"/>
    <w:rsid w:val="007F760D"/>
    <w:rsid w:val="007F7FE0"/>
    <w:rsid w:val="00800816"/>
    <w:rsid w:val="00800B5A"/>
    <w:rsid w:val="008019C9"/>
    <w:rsid w:val="00803F5B"/>
    <w:rsid w:val="0080423A"/>
    <w:rsid w:val="00805151"/>
    <w:rsid w:val="00805726"/>
    <w:rsid w:val="00806B03"/>
    <w:rsid w:val="008072D1"/>
    <w:rsid w:val="00807A37"/>
    <w:rsid w:val="008102DC"/>
    <w:rsid w:val="008104C2"/>
    <w:rsid w:val="00811B87"/>
    <w:rsid w:val="0081230D"/>
    <w:rsid w:val="0081430A"/>
    <w:rsid w:val="0081471B"/>
    <w:rsid w:val="0081601C"/>
    <w:rsid w:val="00816835"/>
    <w:rsid w:val="008169DF"/>
    <w:rsid w:val="00816A05"/>
    <w:rsid w:val="00817415"/>
    <w:rsid w:val="0081781A"/>
    <w:rsid w:val="008202B8"/>
    <w:rsid w:val="00820EE4"/>
    <w:rsid w:val="00821CA1"/>
    <w:rsid w:val="00823127"/>
    <w:rsid w:val="008234C6"/>
    <w:rsid w:val="00824750"/>
    <w:rsid w:val="008268E8"/>
    <w:rsid w:val="008277A3"/>
    <w:rsid w:val="00827ACF"/>
    <w:rsid w:val="00830DFD"/>
    <w:rsid w:val="008312E8"/>
    <w:rsid w:val="008313D5"/>
    <w:rsid w:val="008344BF"/>
    <w:rsid w:val="0083642A"/>
    <w:rsid w:val="008368EA"/>
    <w:rsid w:val="008375E1"/>
    <w:rsid w:val="00837A4A"/>
    <w:rsid w:val="00843219"/>
    <w:rsid w:val="008436FE"/>
    <w:rsid w:val="00844994"/>
    <w:rsid w:val="00844B05"/>
    <w:rsid w:val="00844BAE"/>
    <w:rsid w:val="0084592A"/>
    <w:rsid w:val="008463A4"/>
    <w:rsid w:val="00846528"/>
    <w:rsid w:val="0084673E"/>
    <w:rsid w:val="00855338"/>
    <w:rsid w:val="008558AC"/>
    <w:rsid w:val="008563FB"/>
    <w:rsid w:val="00856CD3"/>
    <w:rsid w:val="00857726"/>
    <w:rsid w:val="00860188"/>
    <w:rsid w:val="008606B2"/>
    <w:rsid w:val="008606CE"/>
    <w:rsid w:val="00862AA9"/>
    <w:rsid w:val="00864E8E"/>
    <w:rsid w:val="0086674C"/>
    <w:rsid w:val="008727C2"/>
    <w:rsid w:val="00872E3A"/>
    <w:rsid w:val="00873300"/>
    <w:rsid w:val="0087480E"/>
    <w:rsid w:val="00874E2E"/>
    <w:rsid w:val="008767F4"/>
    <w:rsid w:val="00876B97"/>
    <w:rsid w:val="00877021"/>
    <w:rsid w:val="0087715B"/>
    <w:rsid w:val="008774D2"/>
    <w:rsid w:val="0087792C"/>
    <w:rsid w:val="00877B94"/>
    <w:rsid w:val="00880EBB"/>
    <w:rsid w:val="008815C1"/>
    <w:rsid w:val="00881DCB"/>
    <w:rsid w:val="00881FAC"/>
    <w:rsid w:val="00882412"/>
    <w:rsid w:val="00882CEC"/>
    <w:rsid w:val="00883A39"/>
    <w:rsid w:val="0088568E"/>
    <w:rsid w:val="00885B71"/>
    <w:rsid w:val="00885E9D"/>
    <w:rsid w:val="00886A3A"/>
    <w:rsid w:val="00887725"/>
    <w:rsid w:val="00892CD0"/>
    <w:rsid w:val="0089385B"/>
    <w:rsid w:val="00893FEB"/>
    <w:rsid w:val="008940A4"/>
    <w:rsid w:val="008953D7"/>
    <w:rsid w:val="008958C7"/>
    <w:rsid w:val="008972DA"/>
    <w:rsid w:val="00897471"/>
    <w:rsid w:val="00897607"/>
    <w:rsid w:val="008A09E7"/>
    <w:rsid w:val="008A0A31"/>
    <w:rsid w:val="008A1C19"/>
    <w:rsid w:val="008A391E"/>
    <w:rsid w:val="008A3957"/>
    <w:rsid w:val="008A42A2"/>
    <w:rsid w:val="008A486A"/>
    <w:rsid w:val="008A4CDA"/>
    <w:rsid w:val="008A4F19"/>
    <w:rsid w:val="008A6D4A"/>
    <w:rsid w:val="008A7158"/>
    <w:rsid w:val="008A7167"/>
    <w:rsid w:val="008A7C48"/>
    <w:rsid w:val="008B1EB7"/>
    <w:rsid w:val="008B21FC"/>
    <w:rsid w:val="008B34C6"/>
    <w:rsid w:val="008B39D0"/>
    <w:rsid w:val="008B43BC"/>
    <w:rsid w:val="008B4538"/>
    <w:rsid w:val="008B4C80"/>
    <w:rsid w:val="008B5321"/>
    <w:rsid w:val="008B59E7"/>
    <w:rsid w:val="008B7143"/>
    <w:rsid w:val="008C1C23"/>
    <w:rsid w:val="008C254B"/>
    <w:rsid w:val="008C28F6"/>
    <w:rsid w:val="008C350D"/>
    <w:rsid w:val="008C45B8"/>
    <w:rsid w:val="008C4928"/>
    <w:rsid w:val="008C6BD7"/>
    <w:rsid w:val="008C78FF"/>
    <w:rsid w:val="008D0BE3"/>
    <w:rsid w:val="008D21F8"/>
    <w:rsid w:val="008D279D"/>
    <w:rsid w:val="008D3F34"/>
    <w:rsid w:val="008D6F19"/>
    <w:rsid w:val="008E0170"/>
    <w:rsid w:val="008E1818"/>
    <w:rsid w:val="008E2AE0"/>
    <w:rsid w:val="008E30E0"/>
    <w:rsid w:val="008E331C"/>
    <w:rsid w:val="008E39A4"/>
    <w:rsid w:val="008E4515"/>
    <w:rsid w:val="008E4633"/>
    <w:rsid w:val="008E4661"/>
    <w:rsid w:val="008E4D24"/>
    <w:rsid w:val="008E6829"/>
    <w:rsid w:val="008E754A"/>
    <w:rsid w:val="008F061F"/>
    <w:rsid w:val="008F21B7"/>
    <w:rsid w:val="008F229D"/>
    <w:rsid w:val="008F24A8"/>
    <w:rsid w:val="008F3029"/>
    <w:rsid w:val="008F360A"/>
    <w:rsid w:val="008F4168"/>
    <w:rsid w:val="008F6950"/>
    <w:rsid w:val="008F7349"/>
    <w:rsid w:val="0090019A"/>
    <w:rsid w:val="009022A7"/>
    <w:rsid w:val="00902861"/>
    <w:rsid w:val="00904A4A"/>
    <w:rsid w:val="00904ADF"/>
    <w:rsid w:val="00905551"/>
    <w:rsid w:val="00907ED3"/>
    <w:rsid w:val="00910C8C"/>
    <w:rsid w:val="00913875"/>
    <w:rsid w:val="00915E72"/>
    <w:rsid w:val="009164DF"/>
    <w:rsid w:val="0091658E"/>
    <w:rsid w:val="00916F76"/>
    <w:rsid w:val="00917824"/>
    <w:rsid w:val="009203DF"/>
    <w:rsid w:val="009204E3"/>
    <w:rsid w:val="00922D21"/>
    <w:rsid w:val="00925E42"/>
    <w:rsid w:val="0092633A"/>
    <w:rsid w:val="009265C3"/>
    <w:rsid w:val="009266D5"/>
    <w:rsid w:val="009302F6"/>
    <w:rsid w:val="0093031C"/>
    <w:rsid w:val="00930C1E"/>
    <w:rsid w:val="009319CE"/>
    <w:rsid w:val="00931C77"/>
    <w:rsid w:val="00932278"/>
    <w:rsid w:val="00933C67"/>
    <w:rsid w:val="009345E0"/>
    <w:rsid w:val="00935AB8"/>
    <w:rsid w:val="009365BF"/>
    <w:rsid w:val="00936C60"/>
    <w:rsid w:val="009374BD"/>
    <w:rsid w:val="00940DE3"/>
    <w:rsid w:val="009414F8"/>
    <w:rsid w:val="009416FA"/>
    <w:rsid w:val="00941FA4"/>
    <w:rsid w:val="009423DD"/>
    <w:rsid w:val="009427B3"/>
    <w:rsid w:val="009448E5"/>
    <w:rsid w:val="00944A24"/>
    <w:rsid w:val="00945922"/>
    <w:rsid w:val="00946871"/>
    <w:rsid w:val="009468DB"/>
    <w:rsid w:val="00946B14"/>
    <w:rsid w:val="009475EC"/>
    <w:rsid w:val="00947830"/>
    <w:rsid w:val="0095054F"/>
    <w:rsid w:val="0095104B"/>
    <w:rsid w:val="00952302"/>
    <w:rsid w:val="00952E68"/>
    <w:rsid w:val="0095338E"/>
    <w:rsid w:val="009546A7"/>
    <w:rsid w:val="00955465"/>
    <w:rsid w:val="0095548D"/>
    <w:rsid w:val="00956A05"/>
    <w:rsid w:val="00960B5A"/>
    <w:rsid w:val="00961FD0"/>
    <w:rsid w:val="00965E2E"/>
    <w:rsid w:val="009666B0"/>
    <w:rsid w:val="0097004B"/>
    <w:rsid w:val="00970138"/>
    <w:rsid w:val="009704BD"/>
    <w:rsid w:val="009725CD"/>
    <w:rsid w:val="009733F5"/>
    <w:rsid w:val="00973B52"/>
    <w:rsid w:val="0097414E"/>
    <w:rsid w:val="00974F0B"/>
    <w:rsid w:val="00975EBF"/>
    <w:rsid w:val="00976061"/>
    <w:rsid w:val="00976321"/>
    <w:rsid w:val="00976DCF"/>
    <w:rsid w:val="00977B22"/>
    <w:rsid w:val="00977FE8"/>
    <w:rsid w:val="00980BCB"/>
    <w:rsid w:val="0098144C"/>
    <w:rsid w:val="00982616"/>
    <w:rsid w:val="0098276D"/>
    <w:rsid w:val="00984560"/>
    <w:rsid w:val="00984A0B"/>
    <w:rsid w:val="0098647F"/>
    <w:rsid w:val="00987965"/>
    <w:rsid w:val="00987BD2"/>
    <w:rsid w:val="009919B2"/>
    <w:rsid w:val="0099212B"/>
    <w:rsid w:val="0099260A"/>
    <w:rsid w:val="00994D15"/>
    <w:rsid w:val="00994EC6"/>
    <w:rsid w:val="009A0FA5"/>
    <w:rsid w:val="009A26E7"/>
    <w:rsid w:val="009A2925"/>
    <w:rsid w:val="009A3E1B"/>
    <w:rsid w:val="009A4E52"/>
    <w:rsid w:val="009A74E8"/>
    <w:rsid w:val="009B1032"/>
    <w:rsid w:val="009B1C92"/>
    <w:rsid w:val="009B1F36"/>
    <w:rsid w:val="009B23FF"/>
    <w:rsid w:val="009B28EA"/>
    <w:rsid w:val="009B4BF0"/>
    <w:rsid w:val="009B5D2A"/>
    <w:rsid w:val="009B61CF"/>
    <w:rsid w:val="009C0178"/>
    <w:rsid w:val="009C1E59"/>
    <w:rsid w:val="009C3DC6"/>
    <w:rsid w:val="009C4DFF"/>
    <w:rsid w:val="009C5612"/>
    <w:rsid w:val="009C6105"/>
    <w:rsid w:val="009D2BB3"/>
    <w:rsid w:val="009D3579"/>
    <w:rsid w:val="009D3B02"/>
    <w:rsid w:val="009D3BFF"/>
    <w:rsid w:val="009D497A"/>
    <w:rsid w:val="009D4BDE"/>
    <w:rsid w:val="009D549E"/>
    <w:rsid w:val="009D6AD5"/>
    <w:rsid w:val="009D7DC5"/>
    <w:rsid w:val="009E2885"/>
    <w:rsid w:val="009E401F"/>
    <w:rsid w:val="009E428F"/>
    <w:rsid w:val="009E48B7"/>
    <w:rsid w:val="009E5377"/>
    <w:rsid w:val="009E6E74"/>
    <w:rsid w:val="009E79D6"/>
    <w:rsid w:val="009F1921"/>
    <w:rsid w:val="009F2674"/>
    <w:rsid w:val="009F2BBD"/>
    <w:rsid w:val="009F30DE"/>
    <w:rsid w:val="009F31DD"/>
    <w:rsid w:val="009F4B8E"/>
    <w:rsid w:val="009F66C3"/>
    <w:rsid w:val="009F7DE3"/>
    <w:rsid w:val="009F7F57"/>
    <w:rsid w:val="00A00BD7"/>
    <w:rsid w:val="00A01B39"/>
    <w:rsid w:val="00A02B19"/>
    <w:rsid w:val="00A04E61"/>
    <w:rsid w:val="00A07763"/>
    <w:rsid w:val="00A11E8C"/>
    <w:rsid w:val="00A13B8E"/>
    <w:rsid w:val="00A169EE"/>
    <w:rsid w:val="00A16CC1"/>
    <w:rsid w:val="00A20F2B"/>
    <w:rsid w:val="00A23A6F"/>
    <w:rsid w:val="00A23DAC"/>
    <w:rsid w:val="00A246AD"/>
    <w:rsid w:val="00A25880"/>
    <w:rsid w:val="00A260EE"/>
    <w:rsid w:val="00A2645E"/>
    <w:rsid w:val="00A27853"/>
    <w:rsid w:val="00A30344"/>
    <w:rsid w:val="00A30512"/>
    <w:rsid w:val="00A30B2E"/>
    <w:rsid w:val="00A30CAC"/>
    <w:rsid w:val="00A31260"/>
    <w:rsid w:val="00A32D61"/>
    <w:rsid w:val="00A33617"/>
    <w:rsid w:val="00A33C0C"/>
    <w:rsid w:val="00A34A6A"/>
    <w:rsid w:val="00A353E5"/>
    <w:rsid w:val="00A357C9"/>
    <w:rsid w:val="00A367B4"/>
    <w:rsid w:val="00A3682E"/>
    <w:rsid w:val="00A37101"/>
    <w:rsid w:val="00A372BF"/>
    <w:rsid w:val="00A3739A"/>
    <w:rsid w:val="00A37E8B"/>
    <w:rsid w:val="00A409D5"/>
    <w:rsid w:val="00A42E58"/>
    <w:rsid w:val="00A4358F"/>
    <w:rsid w:val="00A43D17"/>
    <w:rsid w:val="00A4478D"/>
    <w:rsid w:val="00A4515C"/>
    <w:rsid w:val="00A4545D"/>
    <w:rsid w:val="00A45483"/>
    <w:rsid w:val="00A46318"/>
    <w:rsid w:val="00A46E23"/>
    <w:rsid w:val="00A51837"/>
    <w:rsid w:val="00A51C65"/>
    <w:rsid w:val="00A52CC9"/>
    <w:rsid w:val="00A5360B"/>
    <w:rsid w:val="00A551F5"/>
    <w:rsid w:val="00A55560"/>
    <w:rsid w:val="00A56513"/>
    <w:rsid w:val="00A568B3"/>
    <w:rsid w:val="00A56D56"/>
    <w:rsid w:val="00A56F87"/>
    <w:rsid w:val="00A60310"/>
    <w:rsid w:val="00A60D54"/>
    <w:rsid w:val="00A618EB"/>
    <w:rsid w:val="00A63054"/>
    <w:rsid w:val="00A630B5"/>
    <w:rsid w:val="00A6365C"/>
    <w:rsid w:val="00A63C83"/>
    <w:rsid w:val="00A65034"/>
    <w:rsid w:val="00A65F41"/>
    <w:rsid w:val="00A65FFF"/>
    <w:rsid w:val="00A66D73"/>
    <w:rsid w:val="00A67427"/>
    <w:rsid w:val="00A72CED"/>
    <w:rsid w:val="00A72E49"/>
    <w:rsid w:val="00A735EC"/>
    <w:rsid w:val="00A73840"/>
    <w:rsid w:val="00A74225"/>
    <w:rsid w:val="00A7461E"/>
    <w:rsid w:val="00A75881"/>
    <w:rsid w:val="00A76EB9"/>
    <w:rsid w:val="00A774DB"/>
    <w:rsid w:val="00A779A9"/>
    <w:rsid w:val="00A80540"/>
    <w:rsid w:val="00A81E0C"/>
    <w:rsid w:val="00A82974"/>
    <w:rsid w:val="00A839AB"/>
    <w:rsid w:val="00A856F4"/>
    <w:rsid w:val="00A87667"/>
    <w:rsid w:val="00A87A19"/>
    <w:rsid w:val="00A90783"/>
    <w:rsid w:val="00A9167B"/>
    <w:rsid w:val="00A91CD8"/>
    <w:rsid w:val="00A92F8A"/>
    <w:rsid w:val="00A93BE0"/>
    <w:rsid w:val="00A94364"/>
    <w:rsid w:val="00A949F2"/>
    <w:rsid w:val="00A958CA"/>
    <w:rsid w:val="00A96901"/>
    <w:rsid w:val="00A97D7C"/>
    <w:rsid w:val="00AA0414"/>
    <w:rsid w:val="00AA1267"/>
    <w:rsid w:val="00AA1C4C"/>
    <w:rsid w:val="00AA243C"/>
    <w:rsid w:val="00AA2A6F"/>
    <w:rsid w:val="00AA45EB"/>
    <w:rsid w:val="00AA4E99"/>
    <w:rsid w:val="00AA5716"/>
    <w:rsid w:val="00AA6F81"/>
    <w:rsid w:val="00AA7413"/>
    <w:rsid w:val="00AA7486"/>
    <w:rsid w:val="00AA74E7"/>
    <w:rsid w:val="00AA781A"/>
    <w:rsid w:val="00AA7B32"/>
    <w:rsid w:val="00AB054F"/>
    <w:rsid w:val="00AB1101"/>
    <w:rsid w:val="00AB17F2"/>
    <w:rsid w:val="00AB190A"/>
    <w:rsid w:val="00AB1F9F"/>
    <w:rsid w:val="00AB29F4"/>
    <w:rsid w:val="00AB3D47"/>
    <w:rsid w:val="00AB405A"/>
    <w:rsid w:val="00AB4135"/>
    <w:rsid w:val="00AB4847"/>
    <w:rsid w:val="00AB4EAB"/>
    <w:rsid w:val="00AB547E"/>
    <w:rsid w:val="00AB571D"/>
    <w:rsid w:val="00AC1670"/>
    <w:rsid w:val="00AC35FB"/>
    <w:rsid w:val="00AC3C93"/>
    <w:rsid w:val="00AC448A"/>
    <w:rsid w:val="00AC4C3D"/>
    <w:rsid w:val="00AC5715"/>
    <w:rsid w:val="00AC6914"/>
    <w:rsid w:val="00AC6A10"/>
    <w:rsid w:val="00AC78B3"/>
    <w:rsid w:val="00AD08E3"/>
    <w:rsid w:val="00AD1105"/>
    <w:rsid w:val="00AD1438"/>
    <w:rsid w:val="00AD2496"/>
    <w:rsid w:val="00AD2803"/>
    <w:rsid w:val="00AD301E"/>
    <w:rsid w:val="00AD44B1"/>
    <w:rsid w:val="00AD60E2"/>
    <w:rsid w:val="00AD6893"/>
    <w:rsid w:val="00AD6B07"/>
    <w:rsid w:val="00AD741B"/>
    <w:rsid w:val="00AD76DB"/>
    <w:rsid w:val="00AD7AD3"/>
    <w:rsid w:val="00AE1E44"/>
    <w:rsid w:val="00AE21E8"/>
    <w:rsid w:val="00AE2525"/>
    <w:rsid w:val="00AE25BB"/>
    <w:rsid w:val="00AE3509"/>
    <w:rsid w:val="00AE3D20"/>
    <w:rsid w:val="00AE4717"/>
    <w:rsid w:val="00AF1B20"/>
    <w:rsid w:val="00AF1DE9"/>
    <w:rsid w:val="00AF3A21"/>
    <w:rsid w:val="00AF3A9E"/>
    <w:rsid w:val="00AF3F86"/>
    <w:rsid w:val="00AF50E5"/>
    <w:rsid w:val="00AF59DF"/>
    <w:rsid w:val="00AF666B"/>
    <w:rsid w:val="00AF7277"/>
    <w:rsid w:val="00B017B7"/>
    <w:rsid w:val="00B025BB"/>
    <w:rsid w:val="00B06AE6"/>
    <w:rsid w:val="00B070DF"/>
    <w:rsid w:val="00B10923"/>
    <w:rsid w:val="00B10C22"/>
    <w:rsid w:val="00B10EED"/>
    <w:rsid w:val="00B110F2"/>
    <w:rsid w:val="00B11A30"/>
    <w:rsid w:val="00B12ABD"/>
    <w:rsid w:val="00B14243"/>
    <w:rsid w:val="00B143E5"/>
    <w:rsid w:val="00B14BD3"/>
    <w:rsid w:val="00B14C43"/>
    <w:rsid w:val="00B15476"/>
    <w:rsid w:val="00B1551F"/>
    <w:rsid w:val="00B15F43"/>
    <w:rsid w:val="00B20F47"/>
    <w:rsid w:val="00B22220"/>
    <w:rsid w:val="00B252FA"/>
    <w:rsid w:val="00B25707"/>
    <w:rsid w:val="00B258F8"/>
    <w:rsid w:val="00B26262"/>
    <w:rsid w:val="00B26CC6"/>
    <w:rsid w:val="00B27058"/>
    <w:rsid w:val="00B27295"/>
    <w:rsid w:val="00B31BA7"/>
    <w:rsid w:val="00B343A8"/>
    <w:rsid w:val="00B349F3"/>
    <w:rsid w:val="00B358B0"/>
    <w:rsid w:val="00B3606E"/>
    <w:rsid w:val="00B36147"/>
    <w:rsid w:val="00B403B3"/>
    <w:rsid w:val="00B411CA"/>
    <w:rsid w:val="00B43838"/>
    <w:rsid w:val="00B43F87"/>
    <w:rsid w:val="00B443DD"/>
    <w:rsid w:val="00B50141"/>
    <w:rsid w:val="00B51CEB"/>
    <w:rsid w:val="00B525AF"/>
    <w:rsid w:val="00B5734C"/>
    <w:rsid w:val="00B617AE"/>
    <w:rsid w:val="00B63BBB"/>
    <w:rsid w:val="00B64A01"/>
    <w:rsid w:val="00B64ECF"/>
    <w:rsid w:val="00B65125"/>
    <w:rsid w:val="00B657A6"/>
    <w:rsid w:val="00B65F0D"/>
    <w:rsid w:val="00B66A2B"/>
    <w:rsid w:val="00B71335"/>
    <w:rsid w:val="00B71D12"/>
    <w:rsid w:val="00B727D3"/>
    <w:rsid w:val="00B739E9"/>
    <w:rsid w:val="00B73FEA"/>
    <w:rsid w:val="00B741BD"/>
    <w:rsid w:val="00B74E29"/>
    <w:rsid w:val="00B777A6"/>
    <w:rsid w:val="00B77837"/>
    <w:rsid w:val="00B77BDE"/>
    <w:rsid w:val="00B81393"/>
    <w:rsid w:val="00B813E6"/>
    <w:rsid w:val="00B822C4"/>
    <w:rsid w:val="00B830D3"/>
    <w:rsid w:val="00B834DE"/>
    <w:rsid w:val="00B839C1"/>
    <w:rsid w:val="00B85E89"/>
    <w:rsid w:val="00B86F96"/>
    <w:rsid w:val="00B92753"/>
    <w:rsid w:val="00B9290D"/>
    <w:rsid w:val="00B948A5"/>
    <w:rsid w:val="00B94DBE"/>
    <w:rsid w:val="00B97ADB"/>
    <w:rsid w:val="00BA0032"/>
    <w:rsid w:val="00BA1B67"/>
    <w:rsid w:val="00BA1DEC"/>
    <w:rsid w:val="00BA2544"/>
    <w:rsid w:val="00BA356C"/>
    <w:rsid w:val="00BA424C"/>
    <w:rsid w:val="00BA455E"/>
    <w:rsid w:val="00BA4A19"/>
    <w:rsid w:val="00BA530D"/>
    <w:rsid w:val="00BA6703"/>
    <w:rsid w:val="00BA6968"/>
    <w:rsid w:val="00BA71FB"/>
    <w:rsid w:val="00BA7565"/>
    <w:rsid w:val="00BA7619"/>
    <w:rsid w:val="00BB08C1"/>
    <w:rsid w:val="00BB2BDA"/>
    <w:rsid w:val="00BB45F4"/>
    <w:rsid w:val="00BB587C"/>
    <w:rsid w:val="00BB78AB"/>
    <w:rsid w:val="00BB7F61"/>
    <w:rsid w:val="00BC07A2"/>
    <w:rsid w:val="00BC194E"/>
    <w:rsid w:val="00BC21BA"/>
    <w:rsid w:val="00BC4BD0"/>
    <w:rsid w:val="00BC4C31"/>
    <w:rsid w:val="00BC4FCC"/>
    <w:rsid w:val="00BC554F"/>
    <w:rsid w:val="00BC6924"/>
    <w:rsid w:val="00BC72A3"/>
    <w:rsid w:val="00BD1A11"/>
    <w:rsid w:val="00BD1D6E"/>
    <w:rsid w:val="00BD20BD"/>
    <w:rsid w:val="00BD29DA"/>
    <w:rsid w:val="00BD434E"/>
    <w:rsid w:val="00BD4B75"/>
    <w:rsid w:val="00BD4CA8"/>
    <w:rsid w:val="00BD7825"/>
    <w:rsid w:val="00BD7DC2"/>
    <w:rsid w:val="00BE089D"/>
    <w:rsid w:val="00BE0FE1"/>
    <w:rsid w:val="00BE27A1"/>
    <w:rsid w:val="00BE3875"/>
    <w:rsid w:val="00BE3CAE"/>
    <w:rsid w:val="00BE403B"/>
    <w:rsid w:val="00BE4421"/>
    <w:rsid w:val="00BE550E"/>
    <w:rsid w:val="00BE7E33"/>
    <w:rsid w:val="00BE7E48"/>
    <w:rsid w:val="00BE7E59"/>
    <w:rsid w:val="00BF031E"/>
    <w:rsid w:val="00BF14B3"/>
    <w:rsid w:val="00BF19CC"/>
    <w:rsid w:val="00BF1EEE"/>
    <w:rsid w:val="00BF2482"/>
    <w:rsid w:val="00BF2906"/>
    <w:rsid w:val="00BF443C"/>
    <w:rsid w:val="00BF481A"/>
    <w:rsid w:val="00BF55E8"/>
    <w:rsid w:val="00C00833"/>
    <w:rsid w:val="00C00DFE"/>
    <w:rsid w:val="00C0137A"/>
    <w:rsid w:val="00C01917"/>
    <w:rsid w:val="00C05963"/>
    <w:rsid w:val="00C0674B"/>
    <w:rsid w:val="00C145CD"/>
    <w:rsid w:val="00C155D9"/>
    <w:rsid w:val="00C16A37"/>
    <w:rsid w:val="00C211F1"/>
    <w:rsid w:val="00C2261C"/>
    <w:rsid w:val="00C22EB8"/>
    <w:rsid w:val="00C230D2"/>
    <w:rsid w:val="00C24355"/>
    <w:rsid w:val="00C24E1A"/>
    <w:rsid w:val="00C2560D"/>
    <w:rsid w:val="00C25987"/>
    <w:rsid w:val="00C25CEA"/>
    <w:rsid w:val="00C261D6"/>
    <w:rsid w:val="00C26AAA"/>
    <w:rsid w:val="00C26BEA"/>
    <w:rsid w:val="00C26F90"/>
    <w:rsid w:val="00C314F1"/>
    <w:rsid w:val="00C33D6E"/>
    <w:rsid w:val="00C34F13"/>
    <w:rsid w:val="00C35223"/>
    <w:rsid w:val="00C3634D"/>
    <w:rsid w:val="00C379AC"/>
    <w:rsid w:val="00C4094C"/>
    <w:rsid w:val="00C4135A"/>
    <w:rsid w:val="00C413E9"/>
    <w:rsid w:val="00C44381"/>
    <w:rsid w:val="00C44677"/>
    <w:rsid w:val="00C45452"/>
    <w:rsid w:val="00C45794"/>
    <w:rsid w:val="00C466B0"/>
    <w:rsid w:val="00C46FA0"/>
    <w:rsid w:val="00C475B5"/>
    <w:rsid w:val="00C50942"/>
    <w:rsid w:val="00C50E12"/>
    <w:rsid w:val="00C535DF"/>
    <w:rsid w:val="00C53CFC"/>
    <w:rsid w:val="00C548B1"/>
    <w:rsid w:val="00C5570F"/>
    <w:rsid w:val="00C604C7"/>
    <w:rsid w:val="00C6171B"/>
    <w:rsid w:val="00C6178D"/>
    <w:rsid w:val="00C620A7"/>
    <w:rsid w:val="00C62A4B"/>
    <w:rsid w:val="00C644D5"/>
    <w:rsid w:val="00C64949"/>
    <w:rsid w:val="00C650D0"/>
    <w:rsid w:val="00C6594D"/>
    <w:rsid w:val="00C65985"/>
    <w:rsid w:val="00C6729F"/>
    <w:rsid w:val="00C70B45"/>
    <w:rsid w:val="00C714D9"/>
    <w:rsid w:val="00C71D75"/>
    <w:rsid w:val="00C7290A"/>
    <w:rsid w:val="00C72AC1"/>
    <w:rsid w:val="00C73A2B"/>
    <w:rsid w:val="00C73DA7"/>
    <w:rsid w:val="00C73F63"/>
    <w:rsid w:val="00C74020"/>
    <w:rsid w:val="00C74CB0"/>
    <w:rsid w:val="00C75C35"/>
    <w:rsid w:val="00C81215"/>
    <w:rsid w:val="00C84B5F"/>
    <w:rsid w:val="00C84BAA"/>
    <w:rsid w:val="00C853F3"/>
    <w:rsid w:val="00C85DA8"/>
    <w:rsid w:val="00C875C0"/>
    <w:rsid w:val="00C90573"/>
    <w:rsid w:val="00C90F00"/>
    <w:rsid w:val="00C916EA"/>
    <w:rsid w:val="00C919A8"/>
    <w:rsid w:val="00C92F5C"/>
    <w:rsid w:val="00C93A3A"/>
    <w:rsid w:val="00C94441"/>
    <w:rsid w:val="00C94CA8"/>
    <w:rsid w:val="00C95FE6"/>
    <w:rsid w:val="00C9661C"/>
    <w:rsid w:val="00C96B9E"/>
    <w:rsid w:val="00CA1006"/>
    <w:rsid w:val="00CA176F"/>
    <w:rsid w:val="00CA2755"/>
    <w:rsid w:val="00CA3FBD"/>
    <w:rsid w:val="00CA58E9"/>
    <w:rsid w:val="00CA5D5A"/>
    <w:rsid w:val="00CA6F24"/>
    <w:rsid w:val="00CA72B2"/>
    <w:rsid w:val="00CA7904"/>
    <w:rsid w:val="00CB097D"/>
    <w:rsid w:val="00CB1DC2"/>
    <w:rsid w:val="00CB24AB"/>
    <w:rsid w:val="00CB2929"/>
    <w:rsid w:val="00CB31C3"/>
    <w:rsid w:val="00CB32EE"/>
    <w:rsid w:val="00CB34EF"/>
    <w:rsid w:val="00CB4426"/>
    <w:rsid w:val="00CB57B7"/>
    <w:rsid w:val="00CB5D1F"/>
    <w:rsid w:val="00CB5D3B"/>
    <w:rsid w:val="00CB5F2A"/>
    <w:rsid w:val="00CB652B"/>
    <w:rsid w:val="00CB7553"/>
    <w:rsid w:val="00CB76B5"/>
    <w:rsid w:val="00CB7973"/>
    <w:rsid w:val="00CB7EA9"/>
    <w:rsid w:val="00CC04C3"/>
    <w:rsid w:val="00CC0A0D"/>
    <w:rsid w:val="00CC0E29"/>
    <w:rsid w:val="00CC187E"/>
    <w:rsid w:val="00CC21E8"/>
    <w:rsid w:val="00CC2D8F"/>
    <w:rsid w:val="00CC3056"/>
    <w:rsid w:val="00CC3752"/>
    <w:rsid w:val="00CC3B58"/>
    <w:rsid w:val="00CC4F17"/>
    <w:rsid w:val="00CC5A63"/>
    <w:rsid w:val="00CC664D"/>
    <w:rsid w:val="00CC7560"/>
    <w:rsid w:val="00CD033D"/>
    <w:rsid w:val="00CD09E5"/>
    <w:rsid w:val="00CD1309"/>
    <w:rsid w:val="00CD29D9"/>
    <w:rsid w:val="00CD2F1A"/>
    <w:rsid w:val="00CD42D1"/>
    <w:rsid w:val="00CD458C"/>
    <w:rsid w:val="00CD5E8E"/>
    <w:rsid w:val="00CD6192"/>
    <w:rsid w:val="00CD69B0"/>
    <w:rsid w:val="00CD736F"/>
    <w:rsid w:val="00CD7509"/>
    <w:rsid w:val="00CD7E54"/>
    <w:rsid w:val="00CE1043"/>
    <w:rsid w:val="00CE140F"/>
    <w:rsid w:val="00CE1817"/>
    <w:rsid w:val="00CE1A7A"/>
    <w:rsid w:val="00CE388A"/>
    <w:rsid w:val="00CE42AD"/>
    <w:rsid w:val="00CE4470"/>
    <w:rsid w:val="00CE44C2"/>
    <w:rsid w:val="00CE45F1"/>
    <w:rsid w:val="00CE479A"/>
    <w:rsid w:val="00CE56BF"/>
    <w:rsid w:val="00CE6D61"/>
    <w:rsid w:val="00CF02B0"/>
    <w:rsid w:val="00CF0562"/>
    <w:rsid w:val="00CF199D"/>
    <w:rsid w:val="00CF2CE2"/>
    <w:rsid w:val="00CF3FE1"/>
    <w:rsid w:val="00CF5ACB"/>
    <w:rsid w:val="00CF6106"/>
    <w:rsid w:val="00CF6F3B"/>
    <w:rsid w:val="00CF7355"/>
    <w:rsid w:val="00CF74E7"/>
    <w:rsid w:val="00D0029E"/>
    <w:rsid w:val="00D00701"/>
    <w:rsid w:val="00D0118E"/>
    <w:rsid w:val="00D02EB3"/>
    <w:rsid w:val="00D03529"/>
    <w:rsid w:val="00D040A4"/>
    <w:rsid w:val="00D04E75"/>
    <w:rsid w:val="00D04FF5"/>
    <w:rsid w:val="00D05809"/>
    <w:rsid w:val="00D0653E"/>
    <w:rsid w:val="00D06621"/>
    <w:rsid w:val="00D07FCA"/>
    <w:rsid w:val="00D1070B"/>
    <w:rsid w:val="00D10AB5"/>
    <w:rsid w:val="00D10E26"/>
    <w:rsid w:val="00D12080"/>
    <w:rsid w:val="00D1267C"/>
    <w:rsid w:val="00D12692"/>
    <w:rsid w:val="00D139E9"/>
    <w:rsid w:val="00D14688"/>
    <w:rsid w:val="00D168D1"/>
    <w:rsid w:val="00D17515"/>
    <w:rsid w:val="00D17617"/>
    <w:rsid w:val="00D209DC"/>
    <w:rsid w:val="00D221C8"/>
    <w:rsid w:val="00D22BE2"/>
    <w:rsid w:val="00D22F99"/>
    <w:rsid w:val="00D237CB"/>
    <w:rsid w:val="00D245EA"/>
    <w:rsid w:val="00D251C0"/>
    <w:rsid w:val="00D279FC"/>
    <w:rsid w:val="00D27D9A"/>
    <w:rsid w:val="00D27DD8"/>
    <w:rsid w:val="00D3062A"/>
    <w:rsid w:val="00D3269A"/>
    <w:rsid w:val="00D327C3"/>
    <w:rsid w:val="00D33327"/>
    <w:rsid w:val="00D3364B"/>
    <w:rsid w:val="00D34E1C"/>
    <w:rsid w:val="00D34E44"/>
    <w:rsid w:val="00D35830"/>
    <w:rsid w:val="00D36009"/>
    <w:rsid w:val="00D37022"/>
    <w:rsid w:val="00D3785A"/>
    <w:rsid w:val="00D413A3"/>
    <w:rsid w:val="00D41657"/>
    <w:rsid w:val="00D426DC"/>
    <w:rsid w:val="00D42D94"/>
    <w:rsid w:val="00D43137"/>
    <w:rsid w:val="00D436AE"/>
    <w:rsid w:val="00D46087"/>
    <w:rsid w:val="00D464BC"/>
    <w:rsid w:val="00D47962"/>
    <w:rsid w:val="00D47C42"/>
    <w:rsid w:val="00D51D02"/>
    <w:rsid w:val="00D5213A"/>
    <w:rsid w:val="00D526DC"/>
    <w:rsid w:val="00D55C10"/>
    <w:rsid w:val="00D55F9A"/>
    <w:rsid w:val="00D56470"/>
    <w:rsid w:val="00D5653C"/>
    <w:rsid w:val="00D56913"/>
    <w:rsid w:val="00D570D2"/>
    <w:rsid w:val="00D57709"/>
    <w:rsid w:val="00D57EDE"/>
    <w:rsid w:val="00D60109"/>
    <w:rsid w:val="00D610EE"/>
    <w:rsid w:val="00D653BA"/>
    <w:rsid w:val="00D67EC3"/>
    <w:rsid w:val="00D7050B"/>
    <w:rsid w:val="00D70BC4"/>
    <w:rsid w:val="00D70CEB"/>
    <w:rsid w:val="00D7139C"/>
    <w:rsid w:val="00D719A1"/>
    <w:rsid w:val="00D7277E"/>
    <w:rsid w:val="00D73437"/>
    <w:rsid w:val="00D73630"/>
    <w:rsid w:val="00D751A9"/>
    <w:rsid w:val="00D773EC"/>
    <w:rsid w:val="00D77BF9"/>
    <w:rsid w:val="00D80454"/>
    <w:rsid w:val="00D80ED7"/>
    <w:rsid w:val="00D81AB3"/>
    <w:rsid w:val="00D8363A"/>
    <w:rsid w:val="00D8367C"/>
    <w:rsid w:val="00D844D7"/>
    <w:rsid w:val="00D84759"/>
    <w:rsid w:val="00D84C29"/>
    <w:rsid w:val="00D85658"/>
    <w:rsid w:val="00D8568C"/>
    <w:rsid w:val="00D85D93"/>
    <w:rsid w:val="00D879E8"/>
    <w:rsid w:val="00D90CB5"/>
    <w:rsid w:val="00D90D0C"/>
    <w:rsid w:val="00D9335C"/>
    <w:rsid w:val="00D941B1"/>
    <w:rsid w:val="00DA02CB"/>
    <w:rsid w:val="00DA0B3E"/>
    <w:rsid w:val="00DA15C4"/>
    <w:rsid w:val="00DA291C"/>
    <w:rsid w:val="00DA3BC0"/>
    <w:rsid w:val="00DA3DDE"/>
    <w:rsid w:val="00DA4290"/>
    <w:rsid w:val="00DA4802"/>
    <w:rsid w:val="00DA5A12"/>
    <w:rsid w:val="00DA6F73"/>
    <w:rsid w:val="00DA7B39"/>
    <w:rsid w:val="00DB057B"/>
    <w:rsid w:val="00DB0E50"/>
    <w:rsid w:val="00DB1685"/>
    <w:rsid w:val="00DB1BAA"/>
    <w:rsid w:val="00DB29C8"/>
    <w:rsid w:val="00DC04A4"/>
    <w:rsid w:val="00DC0FEE"/>
    <w:rsid w:val="00DC15AD"/>
    <w:rsid w:val="00DC1B33"/>
    <w:rsid w:val="00DC2CFD"/>
    <w:rsid w:val="00DC39E2"/>
    <w:rsid w:val="00DC3DC6"/>
    <w:rsid w:val="00DC473D"/>
    <w:rsid w:val="00DC49CC"/>
    <w:rsid w:val="00DC5164"/>
    <w:rsid w:val="00DC6677"/>
    <w:rsid w:val="00DC7A8D"/>
    <w:rsid w:val="00DC7F91"/>
    <w:rsid w:val="00DD08EE"/>
    <w:rsid w:val="00DD1123"/>
    <w:rsid w:val="00DD1221"/>
    <w:rsid w:val="00DD1CA4"/>
    <w:rsid w:val="00DD1F9A"/>
    <w:rsid w:val="00DD2C0E"/>
    <w:rsid w:val="00DD3716"/>
    <w:rsid w:val="00DD3A45"/>
    <w:rsid w:val="00DD4400"/>
    <w:rsid w:val="00DD57ED"/>
    <w:rsid w:val="00DD63F1"/>
    <w:rsid w:val="00DD6CF1"/>
    <w:rsid w:val="00DD7BFD"/>
    <w:rsid w:val="00DE13F3"/>
    <w:rsid w:val="00DE22BE"/>
    <w:rsid w:val="00DE435E"/>
    <w:rsid w:val="00DE4916"/>
    <w:rsid w:val="00DE5464"/>
    <w:rsid w:val="00DE66E2"/>
    <w:rsid w:val="00DF115A"/>
    <w:rsid w:val="00DF133E"/>
    <w:rsid w:val="00DF2856"/>
    <w:rsid w:val="00DF2BC0"/>
    <w:rsid w:val="00DF31EF"/>
    <w:rsid w:val="00DF385E"/>
    <w:rsid w:val="00DF4D06"/>
    <w:rsid w:val="00DF57CA"/>
    <w:rsid w:val="00DF6DC4"/>
    <w:rsid w:val="00DF7296"/>
    <w:rsid w:val="00DF72A8"/>
    <w:rsid w:val="00DF785A"/>
    <w:rsid w:val="00DF7E9D"/>
    <w:rsid w:val="00E00876"/>
    <w:rsid w:val="00E02CA9"/>
    <w:rsid w:val="00E038A5"/>
    <w:rsid w:val="00E05735"/>
    <w:rsid w:val="00E05D65"/>
    <w:rsid w:val="00E07FB9"/>
    <w:rsid w:val="00E10DFA"/>
    <w:rsid w:val="00E10FB8"/>
    <w:rsid w:val="00E110CA"/>
    <w:rsid w:val="00E11240"/>
    <w:rsid w:val="00E1136B"/>
    <w:rsid w:val="00E12D1A"/>
    <w:rsid w:val="00E130B3"/>
    <w:rsid w:val="00E13874"/>
    <w:rsid w:val="00E13F45"/>
    <w:rsid w:val="00E13FD9"/>
    <w:rsid w:val="00E144A8"/>
    <w:rsid w:val="00E16C50"/>
    <w:rsid w:val="00E174E6"/>
    <w:rsid w:val="00E21E03"/>
    <w:rsid w:val="00E2220C"/>
    <w:rsid w:val="00E22893"/>
    <w:rsid w:val="00E23A83"/>
    <w:rsid w:val="00E24694"/>
    <w:rsid w:val="00E249CC"/>
    <w:rsid w:val="00E26605"/>
    <w:rsid w:val="00E31153"/>
    <w:rsid w:val="00E320A3"/>
    <w:rsid w:val="00E32A69"/>
    <w:rsid w:val="00E33984"/>
    <w:rsid w:val="00E358A4"/>
    <w:rsid w:val="00E35B63"/>
    <w:rsid w:val="00E35BCC"/>
    <w:rsid w:val="00E36107"/>
    <w:rsid w:val="00E40A1A"/>
    <w:rsid w:val="00E41CCF"/>
    <w:rsid w:val="00E41E54"/>
    <w:rsid w:val="00E43343"/>
    <w:rsid w:val="00E44665"/>
    <w:rsid w:val="00E44BF7"/>
    <w:rsid w:val="00E44DAE"/>
    <w:rsid w:val="00E4510B"/>
    <w:rsid w:val="00E45EF4"/>
    <w:rsid w:val="00E504AB"/>
    <w:rsid w:val="00E50719"/>
    <w:rsid w:val="00E5115C"/>
    <w:rsid w:val="00E51C29"/>
    <w:rsid w:val="00E520EC"/>
    <w:rsid w:val="00E524F0"/>
    <w:rsid w:val="00E52724"/>
    <w:rsid w:val="00E52A41"/>
    <w:rsid w:val="00E5310E"/>
    <w:rsid w:val="00E53577"/>
    <w:rsid w:val="00E536A6"/>
    <w:rsid w:val="00E540FE"/>
    <w:rsid w:val="00E542DF"/>
    <w:rsid w:val="00E55377"/>
    <w:rsid w:val="00E55571"/>
    <w:rsid w:val="00E55DC9"/>
    <w:rsid w:val="00E56D18"/>
    <w:rsid w:val="00E5764B"/>
    <w:rsid w:val="00E57A10"/>
    <w:rsid w:val="00E60142"/>
    <w:rsid w:val="00E6039B"/>
    <w:rsid w:val="00E607E5"/>
    <w:rsid w:val="00E61DC2"/>
    <w:rsid w:val="00E61F90"/>
    <w:rsid w:val="00E62323"/>
    <w:rsid w:val="00E634A5"/>
    <w:rsid w:val="00E642AD"/>
    <w:rsid w:val="00E72A14"/>
    <w:rsid w:val="00E74296"/>
    <w:rsid w:val="00E7461F"/>
    <w:rsid w:val="00E755EE"/>
    <w:rsid w:val="00E756B6"/>
    <w:rsid w:val="00E76117"/>
    <w:rsid w:val="00E76154"/>
    <w:rsid w:val="00E7658C"/>
    <w:rsid w:val="00E80C08"/>
    <w:rsid w:val="00E80F34"/>
    <w:rsid w:val="00E81459"/>
    <w:rsid w:val="00E816CC"/>
    <w:rsid w:val="00E81F31"/>
    <w:rsid w:val="00E81FEE"/>
    <w:rsid w:val="00E8211F"/>
    <w:rsid w:val="00E82486"/>
    <w:rsid w:val="00E84CB1"/>
    <w:rsid w:val="00E84DB8"/>
    <w:rsid w:val="00E8550A"/>
    <w:rsid w:val="00E85751"/>
    <w:rsid w:val="00E858F1"/>
    <w:rsid w:val="00E87DDF"/>
    <w:rsid w:val="00E9208C"/>
    <w:rsid w:val="00E921AB"/>
    <w:rsid w:val="00E92E6F"/>
    <w:rsid w:val="00E93725"/>
    <w:rsid w:val="00E95736"/>
    <w:rsid w:val="00E9592C"/>
    <w:rsid w:val="00E968AB"/>
    <w:rsid w:val="00E9708C"/>
    <w:rsid w:val="00E97260"/>
    <w:rsid w:val="00E97A1A"/>
    <w:rsid w:val="00E97FE8"/>
    <w:rsid w:val="00EA16C1"/>
    <w:rsid w:val="00EA31C5"/>
    <w:rsid w:val="00EA3D58"/>
    <w:rsid w:val="00EA4BCD"/>
    <w:rsid w:val="00EA6A87"/>
    <w:rsid w:val="00EA7318"/>
    <w:rsid w:val="00EB05FA"/>
    <w:rsid w:val="00EB0E0E"/>
    <w:rsid w:val="00EB1DE0"/>
    <w:rsid w:val="00EB1EC4"/>
    <w:rsid w:val="00EB2266"/>
    <w:rsid w:val="00EB356F"/>
    <w:rsid w:val="00EB4470"/>
    <w:rsid w:val="00EB4D16"/>
    <w:rsid w:val="00EB4EF9"/>
    <w:rsid w:val="00EB5456"/>
    <w:rsid w:val="00EB5AF8"/>
    <w:rsid w:val="00EB7E55"/>
    <w:rsid w:val="00EC063E"/>
    <w:rsid w:val="00EC11A6"/>
    <w:rsid w:val="00EC17D1"/>
    <w:rsid w:val="00EC20EF"/>
    <w:rsid w:val="00EC2E96"/>
    <w:rsid w:val="00EC3452"/>
    <w:rsid w:val="00EC3A29"/>
    <w:rsid w:val="00EC3BA7"/>
    <w:rsid w:val="00EC3D61"/>
    <w:rsid w:val="00EC4EE7"/>
    <w:rsid w:val="00EC6804"/>
    <w:rsid w:val="00EC7132"/>
    <w:rsid w:val="00ED013B"/>
    <w:rsid w:val="00ED0393"/>
    <w:rsid w:val="00ED134B"/>
    <w:rsid w:val="00ED19E8"/>
    <w:rsid w:val="00ED1C41"/>
    <w:rsid w:val="00ED4583"/>
    <w:rsid w:val="00ED5867"/>
    <w:rsid w:val="00ED626C"/>
    <w:rsid w:val="00ED686F"/>
    <w:rsid w:val="00EE1AAB"/>
    <w:rsid w:val="00EE3028"/>
    <w:rsid w:val="00EE4C35"/>
    <w:rsid w:val="00EE4F36"/>
    <w:rsid w:val="00EE555B"/>
    <w:rsid w:val="00EE69FA"/>
    <w:rsid w:val="00EE7077"/>
    <w:rsid w:val="00EE7493"/>
    <w:rsid w:val="00EF034C"/>
    <w:rsid w:val="00EF0D18"/>
    <w:rsid w:val="00EF0EF5"/>
    <w:rsid w:val="00EF1710"/>
    <w:rsid w:val="00EF2766"/>
    <w:rsid w:val="00EF2851"/>
    <w:rsid w:val="00EF394C"/>
    <w:rsid w:val="00EF3FFC"/>
    <w:rsid w:val="00EF4283"/>
    <w:rsid w:val="00EF4667"/>
    <w:rsid w:val="00EF46AC"/>
    <w:rsid w:val="00EF4F90"/>
    <w:rsid w:val="00EF5152"/>
    <w:rsid w:val="00EF7F22"/>
    <w:rsid w:val="00F00471"/>
    <w:rsid w:val="00F0135D"/>
    <w:rsid w:val="00F01400"/>
    <w:rsid w:val="00F04BA9"/>
    <w:rsid w:val="00F05906"/>
    <w:rsid w:val="00F05957"/>
    <w:rsid w:val="00F05FED"/>
    <w:rsid w:val="00F07831"/>
    <w:rsid w:val="00F07B70"/>
    <w:rsid w:val="00F07FB9"/>
    <w:rsid w:val="00F11138"/>
    <w:rsid w:val="00F11368"/>
    <w:rsid w:val="00F11424"/>
    <w:rsid w:val="00F1145C"/>
    <w:rsid w:val="00F11DEB"/>
    <w:rsid w:val="00F125A2"/>
    <w:rsid w:val="00F13CF8"/>
    <w:rsid w:val="00F15260"/>
    <w:rsid w:val="00F15A2E"/>
    <w:rsid w:val="00F175C6"/>
    <w:rsid w:val="00F203C2"/>
    <w:rsid w:val="00F205FC"/>
    <w:rsid w:val="00F21094"/>
    <w:rsid w:val="00F215A6"/>
    <w:rsid w:val="00F21763"/>
    <w:rsid w:val="00F21920"/>
    <w:rsid w:val="00F222A1"/>
    <w:rsid w:val="00F23407"/>
    <w:rsid w:val="00F2344E"/>
    <w:rsid w:val="00F24284"/>
    <w:rsid w:val="00F24CEB"/>
    <w:rsid w:val="00F24CF7"/>
    <w:rsid w:val="00F254EC"/>
    <w:rsid w:val="00F26209"/>
    <w:rsid w:val="00F26D4B"/>
    <w:rsid w:val="00F2712D"/>
    <w:rsid w:val="00F27198"/>
    <w:rsid w:val="00F31F6A"/>
    <w:rsid w:val="00F336D2"/>
    <w:rsid w:val="00F3381B"/>
    <w:rsid w:val="00F3429A"/>
    <w:rsid w:val="00F37F90"/>
    <w:rsid w:val="00F4094E"/>
    <w:rsid w:val="00F41DC8"/>
    <w:rsid w:val="00F429F7"/>
    <w:rsid w:val="00F42CD5"/>
    <w:rsid w:val="00F42DB9"/>
    <w:rsid w:val="00F471D3"/>
    <w:rsid w:val="00F47B33"/>
    <w:rsid w:val="00F50727"/>
    <w:rsid w:val="00F51F2F"/>
    <w:rsid w:val="00F5226C"/>
    <w:rsid w:val="00F52D54"/>
    <w:rsid w:val="00F53C36"/>
    <w:rsid w:val="00F553C1"/>
    <w:rsid w:val="00F55870"/>
    <w:rsid w:val="00F56206"/>
    <w:rsid w:val="00F56A0C"/>
    <w:rsid w:val="00F5786C"/>
    <w:rsid w:val="00F60945"/>
    <w:rsid w:val="00F62B79"/>
    <w:rsid w:val="00F62FFF"/>
    <w:rsid w:val="00F65D6E"/>
    <w:rsid w:val="00F67781"/>
    <w:rsid w:val="00F70839"/>
    <w:rsid w:val="00F710D9"/>
    <w:rsid w:val="00F7176E"/>
    <w:rsid w:val="00F72470"/>
    <w:rsid w:val="00F724EE"/>
    <w:rsid w:val="00F72908"/>
    <w:rsid w:val="00F73AC7"/>
    <w:rsid w:val="00F73DA6"/>
    <w:rsid w:val="00F74DD0"/>
    <w:rsid w:val="00F752CB"/>
    <w:rsid w:val="00F76808"/>
    <w:rsid w:val="00F772A3"/>
    <w:rsid w:val="00F81213"/>
    <w:rsid w:val="00F81649"/>
    <w:rsid w:val="00F822CA"/>
    <w:rsid w:val="00F824D9"/>
    <w:rsid w:val="00F83690"/>
    <w:rsid w:val="00F86C88"/>
    <w:rsid w:val="00F900E3"/>
    <w:rsid w:val="00F90604"/>
    <w:rsid w:val="00F90D6A"/>
    <w:rsid w:val="00F91260"/>
    <w:rsid w:val="00F92491"/>
    <w:rsid w:val="00F9280C"/>
    <w:rsid w:val="00F92B69"/>
    <w:rsid w:val="00F9342B"/>
    <w:rsid w:val="00F936DC"/>
    <w:rsid w:val="00F94004"/>
    <w:rsid w:val="00F944AF"/>
    <w:rsid w:val="00F95789"/>
    <w:rsid w:val="00F9606F"/>
    <w:rsid w:val="00F96213"/>
    <w:rsid w:val="00F9641B"/>
    <w:rsid w:val="00F975C4"/>
    <w:rsid w:val="00F97C2B"/>
    <w:rsid w:val="00F97DE2"/>
    <w:rsid w:val="00FA0158"/>
    <w:rsid w:val="00FA0D49"/>
    <w:rsid w:val="00FA18AD"/>
    <w:rsid w:val="00FA1A7B"/>
    <w:rsid w:val="00FA22E0"/>
    <w:rsid w:val="00FA2ABF"/>
    <w:rsid w:val="00FA2F0F"/>
    <w:rsid w:val="00FA30F0"/>
    <w:rsid w:val="00FA454B"/>
    <w:rsid w:val="00FA61A9"/>
    <w:rsid w:val="00FA6FAE"/>
    <w:rsid w:val="00FB1ED0"/>
    <w:rsid w:val="00FB39B6"/>
    <w:rsid w:val="00FB455C"/>
    <w:rsid w:val="00FB510D"/>
    <w:rsid w:val="00FB7663"/>
    <w:rsid w:val="00FB7703"/>
    <w:rsid w:val="00FB7856"/>
    <w:rsid w:val="00FC07EC"/>
    <w:rsid w:val="00FC2431"/>
    <w:rsid w:val="00FC3457"/>
    <w:rsid w:val="00FC3FA2"/>
    <w:rsid w:val="00FC4C8F"/>
    <w:rsid w:val="00FC51A3"/>
    <w:rsid w:val="00FC541C"/>
    <w:rsid w:val="00FC65FC"/>
    <w:rsid w:val="00FD1952"/>
    <w:rsid w:val="00FD23E7"/>
    <w:rsid w:val="00FD41F4"/>
    <w:rsid w:val="00FD619D"/>
    <w:rsid w:val="00FD6247"/>
    <w:rsid w:val="00FD6E53"/>
    <w:rsid w:val="00FD7624"/>
    <w:rsid w:val="00FE123D"/>
    <w:rsid w:val="00FE2B06"/>
    <w:rsid w:val="00FE3FB7"/>
    <w:rsid w:val="00FE426F"/>
    <w:rsid w:val="00FE46DC"/>
    <w:rsid w:val="00FE532E"/>
    <w:rsid w:val="00FE5649"/>
    <w:rsid w:val="00FE569F"/>
    <w:rsid w:val="00FE66F9"/>
    <w:rsid w:val="00FE6A3D"/>
    <w:rsid w:val="00FE6E6B"/>
    <w:rsid w:val="00FE704A"/>
    <w:rsid w:val="00FE7B3B"/>
    <w:rsid w:val="00FE7EDF"/>
    <w:rsid w:val="00FF0085"/>
    <w:rsid w:val="00FF0AFB"/>
    <w:rsid w:val="00FF2D5F"/>
    <w:rsid w:val="00FF3854"/>
    <w:rsid w:val="00FF48AC"/>
    <w:rsid w:val="00FF6739"/>
    <w:rsid w:val="00FF68FE"/>
    <w:rsid w:val="00FF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D1C4"/>
  <w15:docId w15:val="{47B43692-15BE-44AB-934D-6ECCDBB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C9"/>
  </w:style>
  <w:style w:type="paragraph" w:styleId="Heading1">
    <w:name w:val="heading 1"/>
    <w:basedOn w:val="Normal"/>
    <w:next w:val="Normal"/>
    <w:link w:val="Heading1Char"/>
    <w:uiPriority w:val="9"/>
    <w:qFormat/>
    <w:rsid w:val="00F2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74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2712D"/>
    <w:pPr>
      <w:spacing w:after="0" w:line="240" w:lineRule="auto"/>
    </w:pPr>
  </w:style>
  <w:style w:type="paragraph" w:styleId="BalloonText">
    <w:name w:val="Balloon Text"/>
    <w:basedOn w:val="Normal"/>
    <w:link w:val="BalloonTextChar"/>
    <w:uiPriority w:val="99"/>
    <w:semiHidden/>
    <w:unhideWhenUsed/>
    <w:rsid w:val="00F2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2D"/>
    <w:rPr>
      <w:rFonts w:ascii="Tahoma" w:hAnsi="Tahoma" w:cs="Tahoma"/>
      <w:sz w:val="16"/>
      <w:szCs w:val="16"/>
    </w:rPr>
  </w:style>
  <w:style w:type="table" w:styleId="TableGrid">
    <w:name w:val="Table Grid"/>
    <w:basedOn w:val="TableNormal"/>
    <w:uiPriority w:val="59"/>
    <w:rsid w:val="002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10E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D90D0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5C6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1"/>
  </w:style>
  <w:style w:type="paragraph" w:styleId="Footer">
    <w:name w:val="footer"/>
    <w:basedOn w:val="Normal"/>
    <w:link w:val="FooterChar"/>
    <w:uiPriority w:val="99"/>
    <w:unhideWhenUsed/>
    <w:rsid w:val="005C6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1"/>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9D549E"/>
    <w:pPr>
      <w:spacing w:after="160" w:line="259" w:lineRule="auto"/>
      <w:ind w:left="720"/>
      <w:contextualSpacing/>
    </w:pPr>
  </w:style>
  <w:style w:type="character" w:customStyle="1" w:styleId="NoSpacingChar">
    <w:name w:val="No Spacing Char"/>
    <w:basedOn w:val="DefaultParagraphFont"/>
    <w:link w:val="NoSpacing"/>
    <w:uiPriority w:val="1"/>
    <w:rsid w:val="00DC2CFD"/>
  </w:style>
  <w:style w:type="character" w:styleId="Hyperlink">
    <w:name w:val="Hyperlink"/>
    <w:basedOn w:val="DefaultParagraphFont"/>
    <w:uiPriority w:val="99"/>
    <w:unhideWhenUsed/>
    <w:rsid w:val="00FC51A3"/>
    <w:rPr>
      <w:color w:val="0000FF" w:themeColor="hyperlink"/>
      <w:u w:val="single"/>
    </w:rPr>
  </w:style>
  <w:style w:type="character" w:customStyle="1" w:styleId="UnresolvedMention1">
    <w:name w:val="Unresolved Mention1"/>
    <w:basedOn w:val="DefaultParagraphFont"/>
    <w:uiPriority w:val="99"/>
    <w:semiHidden/>
    <w:unhideWhenUsed/>
    <w:rsid w:val="00B14243"/>
    <w:rPr>
      <w:color w:val="605E5C"/>
      <w:shd w:val="clear" w:color="auto" w:fill="E1DFDD"/>
    </w:rPr>
  </w:style>
  <w:style w:type="character" w:customStyle="1" w:styleId="UnresolvedMention2">
    <w:name w:val="Unresolved Mention2"/>
    <w:basedOn w:val="DefaultParagraphFont"/>
    <w:uiPriority w:val="99"/>
    <w:semiHidden/>
    <w:unhideWhenUsed/>
    <w:rsid w:val="00351814"/>
    <w:rPr>
      <w:color w:val="605E5C"/>
      <w:shd w:val="clear" w:color="auto" w:fill="E1DFDD"/>
    </w:rPr>
  </w:style>
  <w:style w:type="table" w:styleId="TableGridLight">
    <w:name w:val="Grid Table Light"/>
    <w:basedOn w:val="TableNormal"/>
    <w:uiPriority w:val="40"/>
    <w:rsid w:val="003D6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0253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C00833"/>
    <w:rPr>
      <w:color w:val="605E5C"/>
      <w:shd w:val="clear" w:color="auto" w:fill="E1DFDD"/>
    </w:rPr>
  </w:style>
  <w:style w:type="table" w:customStyle="1" w:styleId="MediumShading1-Accent11">
    <w:name w:val="Medium Shading 1 - Accent 11"/>
    <w:basedOn w:val="TableNormal"/>
    <w:uiPriority w:val="63"/>
    <w:rsid w:val="002276B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Table1Light-Accent4">
    <w:name w:val="List Table 1 Light Accent 4"/>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1">
    <w:name w:val="List Table 1 Light Accent 1"/>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1E7CC9"/>
  </w:style>
  <w:style w:type="character" w:styleId="FollowedHyperlink">
    <w:name w:val="FollowedHyperlink"/>
    <w:basedOn w:val="DefaultParagraphFont"/>
    <w:uiPriority w:val="99"/>
    <w:semiHidden/>
    <w:unhideWhenUsed/>
    <w:rsid w:val="00AC6A10"/>
    <w:rPr>
      <w:color w:val="800080" w:themeColor="followedHyperlink"/>
      <w:u w:val="single"/>
    </w:rPr>
  </w:style>
  <w:style w:type="character" w:styleId="CommentReference">
    <w:name w:val="annotation reference"/>
    <w:basedOn w:val="DefaultParagraphFont"/>
    <w:uiPriority w:val="99"/>
    <w:semiHidden/>
    <w:unhideWhenUsed/>
    <w:rsid w:val="004F31D8"/>
    <w:rPr>
      <w:sz w:val="16"/>
      <w:szCs w:val="16"/>
    </w:rPr>
  </w:style>
  <w:style w:type="paragraph" w:styleId="CommentText">
    <w:name w:val="annotation text"/>
    <w:basedOn w:val="Normal"/>
    <w:link w:val="CommentTextChar"/>
    <w:uiPriority w:val="99"/>
    <w:semiHidden/>
    <w:unhideWhenUsed/>
    <w:rsid w:val="004F31D8"/>
    <w:pPr>
      <w:spacing w:line="240" w:lineRule="auto"/>
    </w:pPr>
    <w:rPr>
      <w:sz w:val="20"/>
      <w:szCs w:val="20"/>
    </w:rPr>
  </w:style>
  <w:style w:type="character" w:customStyle="1" w:styleId="CommentTextChar">
    <w:name w:val="Comment Text Char"/>
    <w:basedOn w:val="DefaultParagraphFont"/>
    <w:link w:val="CommentText"/>
    <w:uiPriority w:val="99"/>
    <w:semiHidden/>
    <w:rsid w:val="004F31D8"/>
    <w:rPr>
      <w:sz w:val="20"/>
      <w:szCs w:val="20"/>
    </w:rPr>
  </w:style>
  <w:style w:type="paragraph" w:styleId="CommentSubject">
    <w:name w:val="annotation subject"/>
    <w:basedOn w:val="CommentText"/>
    <w:next w:val="CommentText"/>
    <w:link w:val="CommentSubjectChar"/>
    <w:uiPriority w:val="99"/>
    <w:semiHidden/>
    <w:unhideWhenUsed/>
    <w:rsid w:val="004F31D8"/>
    <w:rPr>
      <w:b/>
      <w:bCs/>
    </w:rPr>
  </w:style>
  <w:style w:type="character" w:customStyle="1" w:styleId="CommentSubjectChar">
    <w:name w:val="Comment Subject Char"/>
    <w:basedOn w:val="CommentTextChar"/>
    <w:link w:val="CommentSubject"/>
    <w:uiPriority w:val="99"/>
    <w:semiHidden/>
    <w:rsid w:val="004F31D8"/>
    <w:rPr>
      <w:b/>
      <w:bCs/>
      <w:sz w:val="20"/>
      <w:szCs w:val="20"/>
    </w:rPr>
  </w:style>
  <w:style w:type="paragraph" w:customStyle="1" w:styleId="xmsonormal">
    <w:name w:val="x_msonormal"/>
    <w:basedOn w:val="Normal"/>
    <w:rsid w:val="00357E1B"/>
    <w:pPr>
      <w:spacing w:after="0" w:line="240" w:lineRule="auto"/>
    </w:pPr>
    <w:rPr>
      <w:rFonts w:ascii="Calibri" w:hAnsi="Calibri" w:cs="Calibri"/>
    </w:rPr>
  </w:style>
  <w:style w:type="table" w:styleId="ListTable6Colorful">
    <w:name w:val="List Table 6 Colorful"/>
    <w:basedOn w:val="TableNormal"/>
    <w:uiPriority w:val="51"/>
    <w:rsid w:val="008563F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4">
    <w:name w:val="Unresolved Mention4"/>
    <w:basedOn w:val="DefaultParagraphFont"/>
    <w:uiPriority w:val="99"/>
    <w:semiHidden/>
    <w:unhideWhenUsed/>
    <w:rsid w:val="00E05735"/>
    <w:rPr>
      <w:color w:val="605E5C"/>
      <w:shd w:val="clear" w:color="auto" w:fill="E1DFDD"/>
    </w:rPr>
  </w:style>
  <w:style w:type="character" w:customStyle="1" w:styleId="UnresolvedMention5">
    <w:name w:val="Unresolved Mention5"/>
    <w:basedOn w:val="DefaultParagraphFont"/>
    <w:uiPriority w:val="99"/>
    <w:semiHidden/>
    <w:unhideWhenUsed/>
    <w:rsid w:val="00315618"/>
    <w:rPr>
      <w:color w:val="605E5C"/>
      <w:shd w:val="clear" w:color="auto" w:fill="E1DFDD"/>
    </w:rPr>
  </w:style>
  <w:style w:type="table" w:styleId="ListTable4">
    <w:name w:val="List Table 4"/>
    <w:basedOn w:val="TableNormal"/>
    <w:uiPriority w:val="49"/>
    <w:rsid w:val="00C22EB8"/>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B1EC4"/>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A94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27477"/>
    <w:rPr>
      <w:rFonts w:asciiTheme="majorHAnsi" w:eastAsiaTheme="majorEastAsia" w:hAnsiTheme="majorHAnsi" w:cstheme="majorBidi"/>
      <w:color w:val="365F91" w:themeColor="accent1" w:themeShade="BF"/>
      <w:sz w:val="26"/>
      <w:szCs w:val="26"/>
    </w:rPr>
  </w:style>
  <w:style w:type="character" w:customStyle="1" w:styleId="UnresolvedMention6">
    <w:name w:val="Unresolved Mention6"/>
    <w:basedOn w:val="DefaultParagraphFont"/>
    <w:uiPriority w:val="99"/>
    <w:semiHidden/>
    <w:unhideWhenUsed/>
    <w:rsid w:val="00127477"/>
    <w:rPr>
      <w:color w:val="605E5C"/>
      <w:shd w:val="clear" w:color="auto" w:fill="E1DFDD"/>
    </w:rPr>
  </w:style>
  <w:style w:type="table" w:styleId="ListTable7Colorful">
    <w:name w:val="List Table 7 Colorful"/>
    <w:basedOn w:val="TableNormal"/>
    <w:uiPriority w:val="52"/>
    <w:rsid w:val="00C535D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9F1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714">
      <w:bodyDiv w:val="1"/>
      <w:marLeft w:val="0"/>
      <w:marRight w:val="0"/>
      <w:marTop w:val="0"/>
      <w:marBottom w:val="0"/>
      <w:divBdr>
        <w:top w:val="none" w:sz="0" w:space="0" w:color="auto"/>
        <w:left w:val="none" w:sz="0" w:space="0" w:color="auto"/>
        <w:bottom w:val="none" w:sz="0" w:space="0" w:color="auto"/>
        <w:right w:val="none" w:sz="0" w:space="0" w:color="auto"/>
      </w:divBdr>
    </w:div>
    <w:div w:id="79644330">
      <w:bodyDiv w:val="1"/>
      <w:marLeft w:val="0"/>
      <w:marRight w:val="0"/>
      <w:marTop w:val="0"/>
      <w:marBottom w:val="0"/>
      <w:divBdr>
        <w:top w:val="none" w:sz="0" w:space="0" w:color="auto"/>
        <w:left w:val="none" w:sz="0" w:space="0" w:color="auto"/>
        <w:bottom w:val="none" w:sz="0" w:space="0" w:color="auto"/>
        <w:right w:val="none" w:sz="0" w:space="0" w:color="auto"/>
      </w:divBdr>
    </w:div>
    <w:div w:id="88545589">
      <w:bodyDiv w:val="1"/>
      <w:marLeft w:val="0"/>
      <w:marRight w:val="0"/>
      <w:marTop w:val="0"/>
      <w:marBottom w:val="0"/>
      <w:divBdr>
        <w:top w:val="none" w:sz="0" w:space="0" w:color="auto"/>
        <w:left w:val="none" w:sz="0" w:space="0" w:color="auto"/>
        <w:bottom w:val="none" w:sz="0" w:space="0" w:color="auto"/>
        <w:right w:val="none" w:sz="0" w:space="0" w:color="auto"/>
      </w:divBdr>
    </w:div>
    <w:div w:id="125583308">
      <w:bodyDiv w:val="1"/>
      <w:marLeft w:val="0"/>
      <w:marRight w:val="0"/>
      <w:marTop w:val="0"/>
      <w:marBottom w:val="0"/>
      <w:divBdr>
        <w:top w:val="none" w:sz="0" w:space="0" w:color="auto"/>
        <w:left w:val="none" w:sz="0" w:space="0" w:color="auto"/>
        <w:bottom w:val="none" w:sz="0" w:space="0" w:color="auto"/>
        <w:right w:val="none" w:sz="0" w:space="0" w:color="auto"/>
      </w:divBdr>
    </w:div>
    <w:div w:id="130945344">
      <w:bodyDiv w:val="1"/>
      <w:marLeft w:val="0"/>
      <w:marRight w:val="0"/>
      <w:marTop w:val="0"/>
      <w:marBottom w:val="0"/>
      <w:divBdr>
        <w:top w:val="none" w:sz="0" w:space="0" w:color="auto"/>
        <w:left w:val="none" w:sz="0" w:space="0" w:color="auto"/>
        <w:bottom w:val="none" w:sz="0" w:space="0" w:color="auto"/>
        <w:right w:val="none" w:sz="0" w:space="0" w:color="auto"/>
      </w:divBdr>
    </w:div>
    <w:div w:id="224800972">
      <w:bodyDiv w:val="1"/>
      <w:marLeft w:val="0"/>
      <w:marRight w:val="0"/>
      <w:marTop w:val="0"/>
      <w:marBottom w:val="0"/>
      <w:divBdr>
        <w:top w:val="none" w:sz="0" w:space="0" w:color="auto"/>
        <w:left w:val="none" w:sz="0" w:space="0" w:color="auto"/>
        <w:bottom w:val="none" w:sz="0" w:space="0" w:color="auto"/>
        <w:right w:val="none" w:sz="0" w:space="0" w:color="auto"/>
      </w:divBdr>
    </w:div>
    <w:div w:id="351226481">
      <w:bodyDiv w:val="1"/>
      <w:marLeft w:val="0"/>
      <w:marRight w:val="0"/>
      <w:marTop w:val="0"/>
      <w:marBottom w:val="0"/>
      <w:divBdr>
        <w:top w:val="none" w:sz="0" w:space="0" w:color="auto"/>
        <w:left w:val="none" w:sz="0" w:space="0" w:color="auto"/>
        <w:bottom w:val="none" w:sz="0" w:space="0" w:color="auto"/>
        <w:right w:val="none" w:sz="0" w:space="0" w:color="auto"/>
      </w:divBdr>
    </w:div>
    <w:div w:id="356926802">
      <w:bodyDiv w:val="1"/>
      <w:marLeft w:val="0"/>
      <w:marRight w:val="0"/>
      <w:marTop w:val="0"/>
      <w:marBottom w:val="0"/>
      <w:divBdr>
        <w:top w:val="none" w:sz="0" w:space="0" w:color="auto"/>
        <w:left w:val="none" w:sz="0" w:space="0" w:color="auto"/>
        <w:bottom w:val="none" w:sz="0" w:space="0" w:color="auto"/>
        <w:right w:val="none" w:sz="0" w:space="0" w:color="auto"/>
      </w:divBdr>
    </w:div>
    <w:div w:id="373698159">
      <w:bodyDiv w:val="1"/>
      <w:marLeft w:val="0"/>
      <w:marRight w:val="0"/>
      <w:marTop w:val="0"/>
      <w:marBottom w:val="0"/>
      <w:divBdr>
        <w:top w:val="none" w:sz="0" w:space="0" w:color="auto"/>
        <w:left w:val="none" w:sz="0" w:space="0" w:color="auto"/>
        <w:bottom w:val="none" w:sz="0" w:space="0" w:color="auto"/>
        <w:right w:val="none" w:sz="0" w:space="0" w:color="auto"/>
      </w:divBdr>
    </w:div>
    <w:div w:id="430665607">
      <w:bodyDiv w:val="1"/>
      <w:marLeft w:val="0"/>
      <w:marRight w:val="0"/>
      <w:marTop w:val="0"/>
      <w:marBottom w:val="0"/>
      <w:divBdr>
        <w:top w:val="none" w:sz="0" w:space="0" w:color="auto"/>
        <w:left w:val="none" w:sz="0" w:space="0" w:color="auto"/>
        <w:bottom w:val="none" w:sz="0" w:space="0" w:color="auto"/>
        <w:right w:val="none" w:sz="0" w:space="0" w:color="auto"/>
      </w:divBdr>
    </w:div>
    <w:div w:id="495997211">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38706003">
      <w:bodyDiv w:val="1"/>
      <w:marLeft w:val="0"/>
      <w:marRight w:val="0"/>
      <w:marTop w:val="0"/>
      <w:marBottom w:val="0"/>
      <w:divBdr>
        <w:top w:val="none" w:sz="0" w:space="0" w:color="auto"/>
        <w:left w:val="none" w:sz="0" w:space="0" w:color="auto"/>
        <w:bottom w:val="none" w:sz="0" w:space="0" w:color="auto"/>
        <w:right w:val="none" w:sz="0" w:space="0" w:color="auto"/>
      </w:divBdr>
    </w:div>
    <w:div w:id="593821901">
      <w:bodyDiv w:val="1"/>
      <w:marLeft w:val="0"/>
      <w:marRight w:val="0"/>
      <w:marTop w:val="0"/>
      <w:marBottom w:val="0"/>
      <w:divBdr>
        <w:top w:val="none" w:sz="0" w:space="0" w:color="auto"/>
        <w:left w:val="none" w:sz="0" w:space="0" w:color="auto"/>
        <w:bottom w:val="none" w:sz="0" w:space="0" w:color="auto"/>
        <w:right w:val="none" w:sz="0" w:space="0" w:color="auto"/>
      </w:divBdr>
    </w:div>
    <w:div w:id="600572268">
      <w:bodyDiv w:val="1"/>
      <w:marLeft w:val="0"/>
      <w:marRight w:val="0"/>
      <w:marTop w:val="0"/>
      <w:marBottom w:val="0"/>
      <w:divBdr>
        <w:top w:val="none" w:sz="0" w:space="0" w:color="auto"/>
        <w:left w:val="none" w:sz="0" w:space="0" w:color="auto"/>
        <w:bottom w:val="none" w:sz="0" w:space="0" w:color="auto"/>
        <w:right w:val="none" w:sz="0" w:space="0" w:color="auto"/>
      </w:divBdr>
    </w:div>
    <w:div w:id="648175597">
      <w:bodyDiv w:val="1"/>
      <w:marLeft w:val="0"/>
      <w:marRight w:val="0"/>
      <w:marTop w:val="0"/>
      <w:marBottom w:val="0"/>
      <w:divBdr>
        <w:top w:val="none" w:sz="0" w:space="0" w:color="auto"/>
        <w:left w:val="none" w:sz="0" w:space="0" w:color="auto"/>
        <w:bottom w:val="none" w:sz="0" w:space="0" w:color="auto"/>
        <w:right w:val="none" w:sz="0" w:space="0" w:color="auto"/>
      </w:divBdr>
    </w:div>
    <w:div w:id="655304595">
      <w:bodyDiv w:val="1"/>
      <w:marLeft w:val="0"/>
      <w:marRight w:val="0"/>
      <w:marTop w:val="0"/>
      <w:marBottom w:val="0"/>
      <w:divBdr>
        <w:top w:val="none" w:sz="0" w:space="0" w:color="auto"/>
        <w:left w:val="none" w:sz="0" w:space="0" w:color="auto"/>
        <w:bottom w:val="none" w:sz="0" w:space="0" w:color="auto"/>
        <w:right w:val="none" w:sz="0" w:space="0" w:color="auto"/>
      </w:divBdr>
    </w:div>
    <w:div w:id="682513612">
      <w:bodyDiv w:val="1"/>
      <w:marLeft w:val="0"/>
      <w:marRight w:val="0"/>
      <w:marTop w:val="0"/>
      <w:marBottom w:val="0"/>
      <w:divBdr>
        <w:top w:val="none" w:sz="0" w:space="0" w:color="auto"/>
        <w:left w:val="none" w:sz="0" w:space="0" w:color="auto"/>
        <w:bottom w:val="none" w:sz="0" w:space="0" w:color="auto"/>
        <w:right w:val="none" w:sz="0" w:space="0" w:color="auto"/>
      </w:divBdr>
    </w:div>
    <w:div w:id="708383399">
      <w:bodyDiv w:val="1"/>
      <w:marLeft w:val="0"/>
      <w:marRight w:val="0"/>
      <w:marTop w:val="0"/>
      <w:marBottom w:val="0"/>
      <w:divBdr>
        <w:top w:val="none" w:sz="0" w:space="0" w:color="auto"/>
        <w:left w:val="none" w:sz="0" w:space="0" w:color="auto"/>
        <w:bottom w:val="none" w:sz="0" w:space="0" w:color="auto"/>
        <w:right w:val="none" w:sz="0" w:space="0" w:color="auto"/>
      </w:divBdr>
    </w:div>
    <w:div w:id="723069261">
      <w:bodyDiv w:val="1"/>
      <w:marLeft w:val="0"/>
      <w:marRight w:val="0"/>
      <w:marTop w:val="0"/>
      <w:marBottom w:val="0"/>
      <w:divBdr>
        <w:top w:val="none" w:sz="0" w:space="0" w:color="auto"/>
        <w:left w:val="none" w:sz="0" w:space="0" w:color="auto"/>
        <w:bottom w:val="none" w:sz="0" w:space="0" w:color="auto"/>
        <w:right w:val="none" w:sz="0" w:space="0" w:color="auto"/>
      </w:divBdr>
    </w:div>
    <w:div w:id="742921274">
      <w:bodyDiv w:val="1"/>
      <w:marLeft w:val="0"/>
      <w:marRight w:val="0"/>
      <w:marTop w:val="0"/>
      <w:marBottom w:val="0"/>
      <w:divBdr>
        <w:top w:val="none" w:sz="0" w:space="0" w:color="auto"/>
        <w:left w:val="none" w:sz="0" w:space="0" w:color="auto"/>
        <w:bottom w:val="none" w:sz="0" w:space="0" w:color="auto"/>
        <w:right w:val="none" w:sz="0" w:space="0" w:color="auto"/>
      </w:divBdr>
    </w:div>
    <w:div w:id="770663677">
      <w:bodyDiv w:val="1"/>
      <w:marLeft w:val="0"/>
      <w:marRight w:val="0"/>
      <w:marTop w:val="0"/>
      <w:marBottom w:val="0"/>
      <w:divBdr>
        <w:top w:val="none" w:sz="0" w:space="0" w:color="auto"/>
        <w:left w:val="none" w:sz="0" w:space="0" w:color="auto"/>
        <w:bottom w:val="none" w:sz="0" w:space="0" w:color="auto"/>
        <w:right w:val="none" w:sz="0" w:space="0" w:color="auto"/>
      </w:divBdr>
    </w:div>
    <w:div w:id="791096031">
      <w:bodyDiv w:val="1"/>
      <w:marLeft w:val="0"/>
      <w:marRight w:val="0"/>
      <w:marTop w:val="0"/>
      <w:marBottom w:val="0"/>
      <w:divBdr>
        <w:top w:val="none" w:sz="0" w:space="0" w:color="auto"/>
        <w:left w:val="none" w:sz="0" w:space="0" w:color="auto"/>
        <w:bottom w:val="none" w:sz="0" w:space="0" w:color="auto"/>
        <w:right w:val="none" w:sz="0" w:space="0" w:color="auto"/>
      </w:divBdr>
    </w:div>
    <w:div w:id="843938171">
      <w:bodyDiv w:val="1"/>
      <w:marLeft w:val="0"/>
      <w:marRight w:val="0"/>
      <w:marTop w:val="0"/>
      <w:marBottom w:val="0"/>
      <w:divBdr>
        <w:top w:val="none" w:sz="0" w:space="0" w:color="auto"/>
        <w:left w:val="none" w:sz="0" w:space="0" w:color="auto"/>
        <w:bottom w:val="none" w:sz="0" w:space="0" w:color="auto"/>
        <w:right w:val="none" w:sz="0" w:space="0" w:color="auto"/>
      </w:divBdr>
    </w:div>
    <w:div w:id="854659724">
      <w:bodyDiv w:val="1"/>
      <w:marLeft w:val="0"/>
      <w:marRight w:val="0"/>
      <w:marTop w:val="0"/>
      <w:marBottom w:val="0"/>
      <w:divBdr>
        <w:top w:val="none" w:sz="0" w:space="0" w:color="auto"/>
        <w:left w:val="none" w:sz="0" w:space="0" w:color="auto"/>
        <w:bottom w:val="none" w:sz="0" w:space="0" w:color="auto"/>
        <w:right w:val="none" w:sz="0" w:space="0" w:color="auto"/>
      </w:divBdr>
    </w:div>
    <w:div w:id="861357093">
      <w:bodyDiv w:val="1"/>
      <w:marLeft w:val="0"/>
      <w:marRight w:val="0"/>
      <w:marTop w:val="0"/>
      <w:marBottom w:val="0"/>
      <w:divBdr>
        <w:top w:val="none" w:sz="0" w:space="0" w:color="auto"/>
        <w:left w:val="none" w:sz="0" w:space="0" w:color="auto"/>
        <w:bottom w:val="none" w:sz="0" w:space="0" w:color="auto"/>
        <w:right w:val="none" w:sz="0" w:space="0" w:color="auto"/>
      </w:divBdr>
    </w:div>
    <w:div w:id="1114129499">
      <w:bodyDiv w:val="1"/>
      <w:marLeft w:val="0"/>
      <w:marRight w:val="0"/>
      <w:marTop w:val="0"/>
      <w:marBottom w:val="0"/>
      <w:divBdr>
        <w:top w:val="none" w:sz="0" w:space="0" w:color="auto"/>
        <w:left w:val="none" w:sz="0" w:space="0" w:color="auto"/>
        <w:bottom w:val="none" w:sz="0" w:space="0" w:color="auto"/>
        <w:right w:val="none" w:sz="0" w:space="0" w:color="auto"/>
      </w:divBdr>
    </w:div>
    <w:div w:id="1166362187">
      <w:bodyDiv w:val="1"/>
      <w:marLeft w:val="0"/>
      <w:marRight w:val="0"/>
      <w:marTop w:val="0"/>
      <w:marBottom w:val="0"/>
      <w:divBdr>
        <w:top w:val="none" w:sz="0" w:space="0" w:color="auto"/>
        <w:left w:val="none" w:sz="0" w:space="0" w:color="auto"/>
        <w:bottom w:val="none" w:sz="0" w:space="0" w:color="auto"/>
        <w:right w:val="none" w:sz="0" w:space="0" w:color="auto"/>
      </w:divBdr>
    </w:div>
    <w:div w:id="1194809021">
      <w:bodyDiv w:val="1"/>
      <w:marLeft w:val="0"/>
      <w:marRight w:val="0"/>
      <w:marTop w:val="0"/>
      <w:marBottom w:val="0"/>
      <w:divBdr>
        <w:top w:val="none" w:sz="0" w:space="0" w:color="auto"/>
        <w:left w:val="none" w:sz="0" w:space="0" w:color="auto"/>
        <w:bottom w:val="none" w:sz="0" w:space="0" w:color="auto"/>
        <w:right w:val="none" w:sz="0" w:space="0" w:color="auto"/>
      </w:divBdr>
    </w:div>
    <w:div w:id="1228373677">
      <w:bodyDiv w:val="1"/>
      <w:marLeft w:val="0"/>
      <w:marRight w:val="0"/>
      <w:marTop w:val="0"/>
      <w:marBottom w:val="0"/>
      <w:divBdr>
        <w:top w:val="none" w:sz="0" w:space="0" w:color="auto"/>
        <w:left w:val="none" w:sz="0" w:space="0" w:color="auto"/>
        <w:bottom w:val="none" w:sz="0" w:space="0" w:color="auto"/>
        <w:right w:val="none" w:sz="0" w:space="0" w:color="auto"/>
      </w:divBdr>
    </w:div>
    <w:div w:id="1263760097">
      <w:bodyDiv w:val="1"/>
      <w:marLeft w:val="0"/>
      <w:marRight w:val="0"/>
      <w:marTop w:val="0"/>
      <w:marBottom w:val="0"/>
      <w:divBdr>
        <w:top w:val="none" w:sz="0" w:space="0" w:color="auto"/>
        <w:left w:val="none" w:sz="0" w:space="0" w:color="auto"/>
        <w:bottom w:val="none" w:sz="0" w:space="0" w:color="auto"/>
        <w:right w:val="none" w:sz="0" w:space="0" w:color="auto"/>
      </w:divBdr>
    </w:div>
    <w:div w:id="1307977882">
      <w:bodyDiv w:val="1"/>
      <w:marLeft w:val="0"/>
      <w:marRight w:val="0"/>
      <w:marTop w:val="0"/>
      <w:marBottom w:val="0"/>
      <w:divBdr>
        <w:top w:val="none" w:sz="0" w:space="0" w:color="auto"/>
        <w:left w:val="none" w:sz="0" w:space="0" w:color="auto"/>
        <w:bottom w:val="none" w:sz="0" w:space="0" w:color="auto"/>
        <w:right w:val="none" w:sz="0" w:space="0" w:color="auto"/>
      </w:divBdr>
    </w:div>
    <w:div w:id="1347488867">
      <w:bodyDiv w:val="1"/>
      <w:marLeft w:val="0"/>
      <w:marRight w:val="0"/>
      <w:marTop w:val="0"/>
      <w:marBottom w:val="0"/>
      <w:divBdr>
        <w:top w:val="none" w:sz="0" w:space="0" w:color="auto"/>
        <w:left w:val="none" w:sz="0" w:space="0" w:color="auto"/>
        <w:bottom w:val="none" w:sz="0" w:space="0" w:color="auto"/>
        <w:right w:val="none" w:sz="0" w:space="0" w:color="auto"/>
      </w:divBdr>
    </w:div>
    <w:div w:id="1349331883">
      <w:bodyDiv w:val="1"/>
      <w:marLeft w:val="0"/>
      <w:marRight w:val="0"/>
      <w:marTop w:val="0"/>
      <w:marBottom w:val="0"/>
      <w:divBdr>
        <w:top w:val="none" w:sz="0" w:space="0" w:color="auto"/>
        <w:left w:val="none" w:sz="0" w:space="0" w:color="auto"/>
        <w:bottom w:val="none" w:sz="0" w:space="0" w:color="auto"/>
        <w:right w:val="none" w:sz="0" w:space="0" w:color="auto"/>
      </w:divBdr>
    </w:div>
    <w:div w:id="1375278617">
      <w:bodyDiv w:val="1"/>
      <w:marLeft w:val="0"/>
      <w:marRight w:val="0"/>
      <w:marTop w:val="0"/>
      <w:marBottom w:val="0"/>
      <w:divBdr>
        <w:top w:val="none" w:sz="0" w:space="0" w:color="auto"/>
        <w:left w:val="none" w:sz="0" w:space="0" w:color="auto"/>
        <w:bottom w:val="none" w:sz="0" w:space="0" w:color="auto"/>
        <w:right w:val="none" w:sz="0" w:space="0" w:color="auto"/>
      </w:divBdr>
    </w:div>
    <w:div w:id="1420760287">
      <w:bodyDiv w:val="1"/>
      <w:marLeft w:val="0"/>
      <w:marRight w:val="0"/>
      <w:marTop w:val="0"/>
      <w:marBottom w:val="0"/>
      <w:divBdr>
        <w:top w:val="none" w:sz="0" w:space="0" w:color="auto"/>
        <w:left w:val="none" w:sz="0" w:space="0" w:color="auto"/>
        <w:bottom w:val="none" w:sz="0" w:space="0" w:color="auto"/>
        <w:right w:val="none" w:sz="0" w:space="0" w:color="auto"/>
      </w:divBdr>
    </w:div>
    <w:div w:id="1439325018">
      <w:bodyDiv w:val="1"/>
      <w:marLeft w:val="0"/>
      <w:marRight w:val="0"/>
      <w:marTop w:val="0"/>
      <w:marBottom w:val="0"/>
      <w:divBdr>
        <w:top w:val="none" w:sz="0" w:space="0" w:color="auto"/>
        <w:left w:val="none" w:sz="0" w:space="0" w:color="auto"/>
        <w:bottom w:val="none" w:sz="0" w:space="0" w:color="auto"/>
        <w:right w:val="none" w:sz="0" w:space="0" w:color="auto"/>
      </w:divBdr>
    </w:div>
    <w:div w:id="1542552639">
      <w:bodyDiv w:val="1"/>
      <w:marLeft w:val="0"/>
      <w:marRight w:val="0"/>
      <w:marTop w:val="0"/>
      <w:marBottom w:val="0"/>
      <w:divBdr>
        <w:top w:val="none" w:sz="0" w:space="0" w:color="auto"/>
        <w:left w:val="none" w:sz="0" w:space="0" w:color="auto"/>
        <w:bottom w:val="none" w:sz="0" w:space="0" w:color="auto"/>
        <w:right w:val="none" w:sz="0" w:space="0" w:color="auto"/>
      </w:divBdr>
    </w:div>
    <w:div w:id="1543325196">
      <w:bodyDiv w:val="1"/>
      <w:marLeft w:val="0"/>
      <w:marRight w:val="0"/>
      <w:marTop w:val="0"/>
      <w:marBottom w:val="0"/>
      <w:divBdr>
        <w:top w:val="none" w:sz="0" w:space="0" w:color="auto"/>
        <w:left w:val="none" w:sz="0" w:space="0" w:color="auto"/>
        <w:bottom w:val="none" w:sz="0" w:space="0" w:color="auto"/>
        <w:right w:val="none" w:sz="0" w:space="0" w:color="auto"/>
      </w:divBdr>
    </w:div>
    <w:div w:id="1584487323">
      <w:bodyDiv w:val="1"/>
      <w:marLeft w:val="0"/>
      <w:marRight w:val="0"/>
      <w:marTop w:val="0"/>
      <w:marBottom w:val="0"/>
      <w:divBdr>
        <w:top w:val="none" w:sz="0" w:space="0" w:color="auto"/>
        <w:left w:val="none" w:sz="0" w:space="0" w:color="auto"/>
        <w:bottom w:val="none" w:sz="0" w:space="0" w:color="auto"/>
        <w:right w:val="none" w:sz="0" w:space="0" w:color="auto"/>
      </w:divBdr>
    </w:div>
    <w:div w:id="1674840944">
      <w:bodyDiv w:val="1"/>
      <w:marLeft w:val="0"/>
      <w:marRight w:val="0"/>
      <w:marTop w:val="0"/>
      <w:marBottom w:val="0"/>
      <w:divBdr>
        <w:top w:val="none" w:sz="0" w:space="0" w:color="auto"/>
        <w:left w:val="none" w:sz="0" w:space="0" w:color="auto"/>
        <w:bottom w:val="none" w:sz="0" w:space="0" w:color="auto"/>
        <w:right w:val="none" w:sz="0" w:space="0" w:color="auto"/>
      </w:divBdr>
    </w:div>
    <w:div w:id="1720859565">
      <w:bodyDiv w:val="1"/>
      <w:marLeft w:val="0"/>
      <w:marRight w:val="0"/>
      <w:marTop w:val="0"/>
      <w:marBottom w:val="0"/>
      <w:divBdr>
        <w:top w:val="none" w:sz="0" w:space="0" w:color="auto"/>
        <w:left w:val="none" w:sz="0" w:space="0" w:color="auto"/>
        <w:bottom w:val="none" w:sz="0" w:space="0" w:color="auto"/>
        <w:right w:val="none" w:sz="0" w:space="0" w:color="auto"/>
      </w:divBdr>
    </w:div>
    <w:div w:id="1730685185">
      <w:bodyDiv w:val="1"/>
      <w:marLeft w:val="0"/>
      <w:marRight w:val="0"/>
      <w:marTop w:val="0"/>
      <w:marBottom w:val="0"/>
      <w:divBdr>
        <w:top w:val="none" w:sz="0" w:space="0" w:color="auto"/>
        <w:left w:val="none" w:sz="0" w:space="0" w:color="auto"/>
        <w:bottom w:val="none" w:sz="0" w:space="0" w:color="auto"/>
        <w:right w:val="none" w:sz="0" w:space="0" w:color="auto"/>
      </w:divBdr>
    </w:div>
    <w:div w:id="1836531976">
      <w:bodyDiv w:val="1"/>
      <w:marLeft w:val="0"/>
      <w:marRight w:val="0"/>
      <w:marTop w:val="0"/>
      <w:marBottom w:val="0"/>
      <w:divBdr>
        <w:top w:val="none" w:sz="0" w:space="0" w:color="auto"/>
        <w:left w:val="none" w:sz="0" w:space="0" w:color="auto"/>
        <w:bottom w:val="none" w:sz="0" w:space="0" w:color="auto"/>
        <w:right w:val="none" w:sz="0" w:space="0" w:color="auto"/>
      </w:divBdr>
    </w:div>
    <w:div w:id="1939556571">
      <w:bodyDiv w:val="1"/>
      <w:marLeft w:val="0"/>
      <w:marRight w:val="0"/>
      <w:marTop w:val="0"/>
      <w:marBottom w:val="0"/>
      <w:divBdr>
        <w:top w:val="none" w:sz="0" w:space="0" w:color="auto"/>
        <w:left w:val="none" w:sz="0" w:space="0" w:color="auto"/>
        <w:bottom w:val="none" w:sz="0" w:space="0" w:color="auto"/>
        <w:right w:val="none" w:sz="0" w:space="0" w:color="auto"/>
      </w:divBdr>
    </w:div>
    <w:div w:id="1984383304">
      <w:bodyDiv w:val="1"/>
      <w:marLeft w:val="0"/>
      <w:marRight w:val="0"/>
      <w:marTop w:val="0"/>
      <w:marBottom w:val="0"/>
      <w:divBdr>
        <w:top w:val="none" w:sz="0" w:space="0" w:color="auto"/>
        <w:left w:val="none" w:sz="0" w:space="0" w:color="auto"/>
        <w:bottom w:val="none" w:sz="0" w:space="0" w:color="auto"/>
        <w:right w:val="none" w:sz="0" w:space="0" w:color="auto"/>
      </w:divBdr>
    </w:div>
    <w:div w:id="1999379482">
      <w:bodyDiv w:val="1"/>
      <w:marLeft w:val="0"/>
      <w:marRight w:val="0"/>
      <w:marTop w:val="0"/>
      <w:marBottom w:val="0"/>
      <w:divBdr>
        <w:top w:val="none" w:sz="0" w:space="0" w:color="auto"/>
        <w:left w:val="none" w:sz="0" w:space="0" w:color="auto"/>
        <w:bottom w:val="none" w:sz="0" w:space="0" w:color="auto"/>
        <w:right w:val="none" w:sz="0" w:space="0" w:color="auto"/>
      </w:divBdr>
    </w:div>
    <w:div w:id="2072532922">
      <w:bodyDiv w:val="1"/>
      <w:marLeft w:val="0"/>
      <w:marRight w:val="0"/>
      <w:marTop w:val="0"/>
      <w:marBottom w:val="0"/>
      <w:divBdr>
        <w:top w:val="none" w:sz="0" w:space="0" w:color="auto"/>
        <w:left w:val="none" w:sz="0" w:space="0" w:color="auto"/>
        <w:bottom w:val="none" w:sz="0" w:space="0" w:color="auto"/>
        <w:right w:val="none" w:sz="0" w:space="0" w:color="auto"/>
      </w:divBdr>
    </w:div>
    <w:div w:id="2099323578">
      <w:bodyDiv w:val="1"/>
      <w:marLeft w:val="0"/>
      <w:marRight w:val="0"/>
      <w:marTop w:val="0"/>
      <w:marBottom w:val="0"/>
      <w:divBdr>
        <w:top w:val="none" w:sz="0" w:space="0" w:color="auto"/>
        <w:left w:val="none" w:sz="0" w:space="0" w:color="auto"/>
        <w:bottom w:val="none" w:sz="0" w:space="0" w:color="auto"/>
        <w:right w:val="none" w:sz="0" w:space="0" w:color="auto"/>
      </w:divBdr>
    </w:div>
    <w:div w:id="2146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msd-animal-health.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witter.com/msdanimalhealth"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linkedin.com/showcase/msd-animal-health"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share.hsforms.com/1zJWDcFabQxei-u0mponvsge12k5"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solidFill>
                  <a:schemeClr val="tx1"/>
                </a:solidFill>
                <a:latin typeface="Arial" panose="020B0604020202020204" pitchFamily="34" charset="0"/>
                <a:cs typeface="Arial" panose="020B0604020202020204" pitchFamily="34" charset="0"/>
              </a:rPr>
              <a:t>Total food and beverages at retail</a:t>
            </a:r>
          </a:p>
        </c:rich>
      </c:tx>
      <c:layout>
        <c:manualLayout>
          <c:xMode val="edge"/>
          <c:yMode val="edge"/>
          <c:x val="0.11034971233540573"/>
          <c:y val="1.5810276679841896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1.359180578052E-2"/>
          <c:y val="0.28987421383647799"/>
          <c:w val="0.94280930400941265"/>
          <c:h val="0.67558163720101028"/>
        </c:manualLayout>
      </c:layout>
      <c:barChart>
        <c:barDir val="col"/>
        <c:grouping val="clustered"/>
        <c:varyColors val="0"/>
        <c:ser>
          <c:idx val="0"/>
          <c:order val="0"/>
          <c:tx>
            <c:strRef>
              <c:f>Sheet1!$B$1</c:f>
              <c:strCache>
                <c:ptCount val="1"/>
                <c:pt idx="0">
                  <c:v>Dollars vs. YA</c:v>
                </c:pt>
              </c:strCache>
            </c:strRef>
          </c:tx>
          <c:spPr>
            <a:solidFill>
              <a:srgbClr val="17427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YTD</c:v>
                </c:pt>
                <c:pt idx="1">
                  <c:v>w.e. 11-09-25</c:v>
                </c:pt>
                <c:pt idx="2">
                  <c:v>w.e. 11-16-25</c:v>
                </c:pt>
                <c:pt idx="3">
                  <c:v>w.e. 11-23-25</c:v>
                </c:pt>
                <c:pt idx="4">
                  <c:v>w.e. 11-30-25</c:v>
                </c:pt>
                <c:pt idx="5">
                  <c:v>November</c:v>
                </c:pt>
              </c:strCache>
            </c:strRef>
          </c:cat>
          <c:val>
            <c:numRef>
              <c:f>Sheet1!$B$2:$B$7</c:f>
              <c:numCache>
                <c:formatCode>0.0%</c:formatCode>
                <c:ptCount val="6"/>
                <c:pt idx="0">
                  <c:v>3.4000000000000002E-2</c:v>
                </c:pt>
                <c:pt idx="1">
                  <c:v>2.1546232096231175E-3</c:v>
                </c:pt>
                <c:pt idx="2">
                  <c:v>3.5085305283101449E-2</c:v>
                </c:pt>
                <c:pt idx="3">
                  <c:v>3.092534847759508E-2</c:v>
                </c:pt>
                <c:pt idx="4">
                  <c:v>2.1746807624896038E-2</c:v>
                </c:pt>
                <c:pt idx="5">
                  <c:v>2.2678976792340502E-2</c:v>
                </c:pt>
              </c:numCache>
            </c:numRef>
          </c:val>
          <c:extLst>
            <c:ext xmlns:c16="http://schemas.microsoft.com/office/drawing/2014/chart" uri="{C3380CC4-5D6E-409C-BE32-E72D297353CC}">
              <c16:uniqueId val="{00000000-B289-40EC-974C-C35DD2F60532}"/>
            </c:ext>
          </c:extLst>
        </c:ser>
        <c:ser>
          <c:idx val="1"/>
          <c:order val="1"/>
          <c:tx>
            <c:strRef>
              <c:f>Sheet1!$C$1</c:f>
              <c:strCache>
                <c:ptCount val="1"/>
                <c:pt idx="0">
                  <c:v>Units vs. YA</c:v>
                </c:pt>
              </c:strCache>
            </c:strRef>
          </c:tx>
          <c:spPr>
            <a:solidFill>
              <a:schemeClr val="tx1">
                <a:lumMod val="50000"/>
                <a:lumOff val="50000"/>
              </a:schemeClr>
            </a:solidFill>
            <a:ln>
              <a:noFill/>
            </a:ln>
            <a:effectLst/>
          </c:spPr>
          <c:invertIfNegative val="0"/>
          <c:dLbls>
            <c:dLbl>
              <c:idx val="0"/>
              <c:layout>
                <c:manualLayout>
                  <c:x val="1.052077853761178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89-40EC-974C-C35DD2F605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YTD</c:v>
                </c:pt>
                <c:pt idx="1">
                  <c:v>w.e. 11-09-25</c:v>
                </c:pt>
                <c:pt idx="2">
                  <c:v>w.e. 11-16-25</c:v>
                </c:pt>
                <c:pt idx="3">
                  <c:v>w.e. 11-23-25</c:v>
                </c:pt>
                <c:pt idx="4">
                  <c:v>w.e. 11-30-25</c:v>
                </c:pt>
                <c:pt idx="5">
                  <c:v>November</c:v>
                </c:pt>
              </c:strCache>
            </c:strRef>
          </c:cat>
          <c:val>
            <c:numRef>
              <c:f>Sheet1!$C$2:$C$7</c:f>
              <c:numCache>
                <c:formatCode>0.0%</c:formatCode>
                <c:ptCount val="6"/>
                <c:pt idx="0">
                  <c:v>6.0000000000000001E-3</c:v>
                </c:pt>
                <c:pt idx="1">
                  <c:v>-1.2785472121194399E-2</c:v>
                </c:pt>
                <c:pt idx="2">
                  <c:v>2.2147200381680235E-2</c:v>
                </c:pt>
                <c:pt idx="3">
                  <c:v>1.501905549103563E-2</c:v>
                </c:pt>
                <c:pt idx="4">
                  <c:v>1.0896461947998181E-2</c:v>
                </c:pt>
                <c:pt idx="5">
                  <c:v>8.9761531781440175E-3</c:v>
                </c:pt>
              </c:numCache>
            </c:numRef>
          </c:val>
          <c:extLst>
            <c:ext xmlns:c16="http://schemas.microsoft.com/office/drawing/2014/chart" uri="{C3380CC4-5D6E-409C-BE32-E72D297353CC}">
              <c16:uniqueId val="{00000002-B289-40EC-974C-C35DD2F60532}"/>
            </c:ext>
          </c:extLst>
        </c:ser>
        <c:dLbls>
          <c:dLblPos val="outEnd"/>
          <c:showLegendKey val="0"/>
          <c:showVal val="1"/>
          <c:showCatName val="0"/>
          <c:showSerName val="0"/>
          <c:showPercent val="0"/>
          <c:showBubbleSize val="0"/>
        </c:dLbls>
        <c:gapWidth val="219"/>
        <c:overlap val="-27"/>
        <c:axId val="1572581904"/>
        <c:axId val="1572585744"/>
      </c:barChart>
      <c:catAx>
        <c:axId val="157258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nl-NL"/>
          </a:p>
        </c:txPr>
        <c:crossAx val="1572585744"/>
        <c:crosses val="autoZero"/>
        <c:auto val="1"/>
        <c:lblAlgn val="ctr"/>
        <c:lblOffset val="100"/>
        <c:noMultiLvlLbl val="0"/>
      </c:catAx>
      <c:valAx>
        <c:axId val="1572585744"/>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572581904"/>
        <c:crosses val="autoZero"/>
        <c:crossBetween val="between"/>
      </c:valAx>
      <c:spPr>
        <a:noFill/>
        <a:ln>
          <a:noFill/>
        </a:ln>
        <a:effectLst/>
      </c:spPr>
    </c:plotArea>
    <c:legend>
      <c:legendPos val="b"/>
      <c:layout>
        <c:manualLayout>
          <c:xMode val="edge"/>
          <c:yMode val="edge"/>
          <c:x val="0.1923496543468626"/>
          <c:y val="0.1090902866390713"/>
          <c:w val="0.63872953829121437"/>
          <c:h val="0.1193009410409064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finfish | Dollar and volume sale vs. YA</a:t>
            </a:r>
          </a:p>
        </c:rich>
      </c:tx>
      <c:layout>
        <c:manualLayout>
          <c:xMode val="edge"/>
          <c:yMode val="edge"/>
          <c:x val="1.2308353697167162E-2"/>
          <c:y val="4.480286738351254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5.8343220796030631E-2"/>
          <c:y val="0.11920627226089252"/>
          <c:w val="0.92072831649468478"/>
          <c:h val="0.73366024754393222"/>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0"/>
              <c:layout>
                <c:manualLayout>
                  <c:x val="-3.7416960810933257E-2"/>
                  <c:y val="5.2990503203228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4C-4954-BB4E-7984704BA2D4}"/>
                </c:ext>
              </c:extLst>
            </c:dLbl>
            <c:dLbl>
              <c:idx val="11"/>
              <c:layout>
                <c:manualLayout>
                  <c:x val="-2.7101535253298815E-2"/>
                  <c:y val="5.36091890343989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38-4A2B-BA0E-CD560DDB7326}"/>
                </c:ext>
              </c:extLst>
            </c:dLbl>
            <c:dLbl>
              <c:idx val="12"/>
              <c:layout>
                <c:manualLayout>
                  <c:x val="-2.6170166229221348E-2"/>
                  <c:y val="4.43845933567788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D0-40C6-BEDE-92FA4A1D28BA}"/>
                </c:ext>
              </c:extLst>
            </c:dLbl>
            <c:dLbl>
              <c:idx val="13"/>
              <c:layout>
                <c:manualLayout>
                  <c:x val="-3.2398069248193294E-2"/>
                  <c:y val="-5.03394230463289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D0-40C6-BEDE-92FA4A1D28BA}"/>
                </c:ext>
              </c:extLst>
            </c:dLbl>
            <c:dLbl>
              <c:idx val="14"/>
              <c:layout>
                <c:manualLayout>
                  <c:x val="-2.4498136363091599E-2"/>
                  <c:y val="-4.52650157499031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93-485D-8543-3405572BAD85}"/>
                </c:ext>
              </c:extLst>
            </c:dLbl>
            <c:dLbl>
              <c:idx val="15"/>
              <c:layout>
                <c:manualLayout>
                  <c:x val="-1.8774793561763682E-2"/>
                  <c:y val="4.10437532570441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5"/>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Nov 25</c:v>
                </c:pt>
              </c:strCache>
            </c:strRef>
          </c:cat>
          <c:val>
            <c:numRef>
              <c:f>Sheet1!$B$2:$B$16</c:f>
              <c:numCache>
                <c:formatCode>0.0%</c:formatCode>
                <c:ptCount val="15"/>
                <c:pt idx="0">
                  <c:v>0.2048200166972387</c:v>
                </c:pt>
                <c:pt idx="1">
                  <c:v>9.8277108965361945E-2</c:v>
                </c:pt>
                <c:pt idx="2">
                  <c:v>-3.5999999999999997E-2</c:v>
                </c:pt>
                <c:pt idx="3">
                  <c:v>4.5887546751452145E-2</c:v>
                </c:pt>
                <c:pt idx="4">
                  <c:v>4.0676270782707222E-3</c:v>
                </c:pt>
                <c:pt idx="5">
                  <c:v>-9.0413468779247368E-3</c:v>
                </c:pt>
                <c:pt idx="6">
                  <c:v>-2.9790484393234711E-2</c:v>
                </c:pt>
                <c:pt idx="7">
                  <c:v>-4.4999999999999998E-2</c:v>
                </c:pt>
                <c:pt idx="8">
                  <c:v>-1.4999999999999999E-2</c:v>
                </c:pt>
                <c:pt idx="9">
                  <c:v>4.0000000000000001E-3</c:v>
                </c:pt>
                <c:pt idx="10">
                  <c:v>2.3E-2</c:v>
                </c:pt>
                <c:pt idx="11">
                  <c:v>2.5000000000000001E-2</c:v>
                </c:pt>
                <c:pt idx="12">
                  <c:v>5.0999999999999997E-2</c:v>
                </c:pt>
                <c:pt idx="13">
                  <c:v>0.05</c:v>
                </c:pt>
                <c:pt idx="14">
                  <c:v>5.1999999999999998E-2</c:v>
                </c:pt>
              </c:numCache>
            </c:numRef>
          </c:val>
          <c:smooth val="0"/>
          <c:extLst>
            <c:ext xmlns:c16="http://schemas.microsoft.com/office/drawing/2014/chart" uri="{C3380CC4-5D6E-409C-BE32-E72D297353CC}">
              <c16:uniqueId val="{00000000-944C-4954-BB4E-7984704BA2D4}"/>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9"/>
              <c:layout>
                <c:manualLayout>
                  <c:x val="-3.568310382435072E-2"/>
                  <c:y val="8.63918216545727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40-4CC4-868D-A3D1C951EFEF}"/>
                </c:ext>
              </c:extLst>
            </c:dLbl>
            <c:dLbl>
              <c:idx val="10"/>
              <c:layout>
                <c:manualLayout>
                  <c:x val="-3.9754058520462855E-2"/>
                  <c:y val="-3.95496429881748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38-4A2B-BA0E-CD560DDB7326}"/>
                </c:ext>
              </c:extLst>
            </c:dLbl>
            <c:dLbl>
              <c:idx val="11"/>
              <c:layout>
                <c:manualLayout>
                  <c:x val="-4.4288791811982406E-2"/>
                  <c:y val="-5.93644544431946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38-4A2B-BA0E-CD560DDB7326}"/>
                </c:ext>
              </c:extLst>
            </c:dLbl>
            <c:dLbl>
              <c:idx val="12"/>
              <c:layout>
                <c:manualLayout>
                  <c:x val="-3.4927611788252634E-2"/>
                  <c:y val="-3.6718457067866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B4-4E33-9B85-341275A9F68F}"/>
                </c:ext>
              </c:extLst>
            </c:dLbl>
            <c:dLbl>
              <c:idx val="13"/>
              <c:layout>
                <c:manualLayout>
                  <c:x val="-2.478771917208979E-2"/>
                  <c:y val="3.39980796909537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B0-403E-8850-0A9B9E409B51}"/>
                </c:ext>
              </c:extLst>
            </c:dLbl>
            <c:dLbl>
              <c:idx val="14"/>
              <c:layout>
                <c:manualLayout>
                  <c:x val="-2.4498136363091599E-2"/>
                  <c:y val="3.28275521300269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93-485D-8543-3405572BAD85}"/>
                </c:ext>
              </c:extLst>
            </c:dLbl>
            <c:dLbl>
              <c:idx val="15"/>
              <c:layout>
                <c:manualLayout>
                  <c:x val="-2.2579968599815432E-2"/>
                  <c:y val="-4.69431971502203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5"/>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Nov 25</c:v>
                </c:pt>
              </c:strCache>
            </c:strRef>
          </c:cat>
          <c:val>
            <c:numRef>
              <c:f>Sheet1!$C$2:$C$16</c:f>
              <c:numCache>
                <c:formatCode>0.0%</c:formatCode>
                <c:ptCount val="15"/>
                <c:pt idx="0">
                  <c:v>0.21612143755047789</c:v>
                </c:pt>
                <c:pt idx="1">
                  <c:v>2.9661600528784558E-2</c:v>
                </c:pt>
                <c:pt idx="2">
                  <c:v>-7.6999999999999999E-2</c:v>
                </c:pt>
                <c:pt idx="3">
                  <c:v>-2.2463091503221268E-2</c:v>
                </c:pt>
                <c:pt idx="4">
                  <c:v>-1.8811345521405086E-2</c:v>
                </c:pt>
                <c:pt idx="5">
                  <c:v>-1.5225006700881137E-2</c:v>
                </c:pt>
                <c:pt idx="6">
                  <c:v>-4.255941365231905E-2</c:v>
                </c:pt>
                <c:pt idx="7">
                  <c:v>-2.5000000000000001E-2</c:v>
                </c:pt>
                <c:pt idx="8">
                  <c:v>-2E-3</c:v>
                </c:pt>
                <c:pt idx="9">
                  <c:v>4.0000000000000001E-3</c:v>
                </c:pt>
                <c:pt idx="10">
                  <c:v>2.4E-2</c:v>
                </c:pt>
                <c:pt idx="11">
                  <c:v>2.4E-2</c:v>
                </c:pt>
                <c:pt idx="12">
                  <c:v>6.8000000000000005E-2</c:v>
                </c:pt>
                <c:pt idx="13">
                  <c:v>4.2999999999999997E-2</c:v>
                </c:pt>
                <c:pt idx="14">
                  <c:v>3.4000000000000002E-2</c:v>
                </c:pt>
              </c:numCache>
            </c:numRef>
          </c:val>
          <c:smooth val="0"/>
          <c:extLst>
            <c:ext xmlns:c16="http://schemas.microsoft.com/office/drawing/2014/chart" uri="{C3380CC4-5D6E-409C-BE32-E72D297353CC}">
              <c16:uniqueId val="{00000001-944C-4954-BB4E-7984704BA2D4}"/>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shellfish | Dollar and volume sale vs. YA</a:t>
            </a:r>
          </a:p>
        </c:rich>
      </c:tx>
      <c:layout>
        <c:manualLayout>
          <c:xMode val="edge"/>
          <c:yMode val="edge"/>
          <c:x val="6.6645088609526282E-3"/>
          <c:y val="4.480163220832594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8.042546793399484E-2"/>
          <c:y val="0.12528405507240548"/>
          <c:w val="0.88336798413790596"/>
          <c:h val="0.81423282735118985"/>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
              <c:layout>
                <c:manualLayout>
                  <c:x val="-1.647077296600271E-2"/>
                  <c:y val="-5.4855879608109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EF-4C11-8766-D0E0D76A2EDD}"/>
                </c:ext>
              </c:extLst>
            </c:dLbl>
            <c:dLbl>
              <c:idx val="2"/>
              <c:layout>
                <c:manualLayout>
                  <c:x val="-8.2315942752476223E-2"/>
                  <c:y val="-2.71314414001012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EF-4C11-8766-D0E0D76A2EDD}"/>
                </c:ext>
              </c:extLst>
            </c:dLbl>
            <c:dLbl>
              <c:idx val="3"/>
              <c:layout>
                <c:manualLayout>
                  <c:x val="-3.3402388053953042E-2"/>
                  <c:y val="8.11625096665563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EF-4C11-8766-D0E0D76A2EDD}"/>
                </c:ext>
              </c:extLst>
            </c:dLbl>
            <c:dLbl>
              <c:idx val="4"/>
              <c:layout>
                <c:manualLayout>
                  <c:x val="-3.3402388053953111E-2"/>
                  <c:y val="4.87944133166318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EF-4C11-8766-D0E0D76A2EDD}"/>
                </c:ext>
              </c:extLst>
            </c:dLbl>
            <c:dLbl>
              <c:idx val="5"/>
              <c:layout>
                <c:manualLayout>
                  <c:x val="-3.8100874207580418E-2"/>
                  <c:y val="5.3300947791620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EF-4C11-8766-D0E0D76A2EDD}"/>
                </c:ext>
              </c:extLst>
            </c:dLbl>
            <c:dLbl>
              <c:idx val="6"/>
              <c:layout>
                <c:manualLayout>
                  <c:x val="-4.845271257657556E-2"/>
                  <c:y val="2.818082264908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EF-4C11-8766-D0E0D76A2EDD}"/>
                </c:ext>
              </c:extLst>
            </c:dLbl>
            <c:dLbl>
              <c:idx val="7"/>
              <c:layout>
                <c:manualLayout>
                  <c:x val="-5.3151198730202937E-2"/>
                  <c:y val="4.26429050675607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EF-4C11-8766-D0E0D76A2EDD}"/>
                </c:ext>
              </c:extLst>
            </c:dLbl>
            <c:dLbl>
              <c:idx val="8"/>
              <c:layout>
                <c:manualLayout>
                  <c:x val="-3.8100874207580418E-2"/>
                  <c:y val="4.4287878841643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EF-4C11-8766-D0E0D76A2EDD}"/>
                </c:ext>
              </c:extLst>
            </c:dLbl>
            <c:dLbl>
              <c:idx val="9"/>
              <c:layout>
                <c:manualLayout>
                  <c:x val="-4.4690131445920073E-2"/>
                  <c:y val="4.8794413316632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EF-4C11-8766-D0E0D76A2EDD}"/>
                </c:ext>
              </c:extLst>
            </c:dLbl>
            <c:dLbl>
              <c:idx val="10"/>
              <c:layout>
                <c:manualLayout>
                  <c:x val="-3.7416943613870296E-2"/>
                  <c:y val="7.62084795123849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EF-4C11-8766-D0E0D76A2EDD}"/>
                </c:ext>
              </c:extLst>
            </c:dLbl>
            <c:dLbl>
              <c:idx val="11"/>
              <c:layout>
                <c:manualLayout>
                  <c:x val="-3.4156385611237967E-2"/>
                  <c:y val="0.1060054224125165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EF-4C11-8766-D0E0D76A2EDD}"/>
                </c:ext>
              </c:extLst>
            </c:dLbl>
            <c:dLbl>
              <c:idx val="12"/>
              <c:layout>
                <c:manualLayout>
                  <c:x val="-3.4338293076924924E-2"/>
                  <c:y val="9.91621403721096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EF-4C11-8766-D0E0D76A2EDD}"/>
                </c:ext>
              </c:extLst>
            </c:dLbl>
            <c:dLbl>
              <c:idx val="13"/>
              <c:layout>
                <c:manualLayout>
                  <c:x val="-3.9982164772908231E-2"/>
                  <c:y val="8.75436251917314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CEF-4C11-8766-D0E0D76A2EDD}"/>
                </c:ext>
              </c:extLst>
            </c:dLbl>
            <c:dLbl>
              <c:idx val="14"/>
              <c:layout>
                <c:manualLayout>
                  <c:x val="-3.5071848264287254E-2"/>
                  <c:y val="4.17401446829824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EF-4C11-8766-D0E0D76A2EDD}"/>
                </c:ext>
              </c:extLst>
            </c:dLbl>
            <c:dLbl>
              <c:idx val="15"/>
              <c:layout>
                <c:manualLayout>
                  <c:x val="-2.7960718060463494E-2"/>
                  <c:y val="-5.53925810468229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5"/>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Nov-25</c:v>
                </c:pt>
              </c:strCache>
            </c:strRef>
          </c:cat>
          <c:val>
            <c:numRef>
              <c:f>Sheet1!$B$2:$B$16</c:f>
              <c:numCache>
                <c:formatCode>0.0%</c:formatCode>
                <c:ptCount val="15"/>
                <c:pt idx="0">
                  <c:v>0.43878525962161319</c:v>
                </c:pt>
                <c:pt idx="1">
                  <c:v>2.0446607749305748E-2</c:v>
                </c:pt>
                <c:pt idx="2">
                  <c:v>-0.156</c:v>
                </c:pt>
                <c:pt idx="3">
                  <c:v>1.5292022796500984E-2</c:v>
                </c:pt>
                <c:pt idx="4">
                  <c:v>-1.0536879344479753E-2</c:v>
                </c:pt>
                <c:pt idx="5">
                  <c:v>-8.046566298416695E-2</c:v>
                </c:pt>
                <c:pt idx="6">
                  <c:v>-0.10197981766643789</c:v>
                </c:pt>
                <c:pt idx="7">
                  <c:v>-0.10299999999999999</c:v>
                </c:pt>
                <c:pt idx="8">
                  <c:v>-9.4E-2</c:v>
                </c:pt>
                <c:pt idx="9">
                  <c:v>-0.03</c:v>
                </c:pt>
                <c:pt idx="10">
                  <c:v>-6.6000000000000003E-2</c:v>
                </c:pt>
                <c:pt idx="11">
                  <c:v>-3.6999999999999998E-2</c:v>
                </c:pt>
                <c:pt idx="12">
                  <c:v>-2.5000000000000001E-2</c:v>
                </c:pt>
                <c:pt idx="13">
                  <c:v>-4.5999999999999999E-2</c:v>
                </c:pt>
                <c:pt idx="14">
                  <c:v>-5.7000000000000002E-2</c:v>
                </c:pt>
              </c:numCache>
            </c:numRef>
          </c:val>
          <c:smooth val="0"/>
          <c:extLst>
            <c:ext xmlns:c16="http://schemas.microsoft.com/office/drawing/2014/chart" uri="{C3380CC4-5D6E-409C-BE32-E72D297353CC}">
              <c16:uniqueId val="{0000000E-BCEF-4C11-8766-D0E0D76A2EDD}"/>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2"/>
              <c:layout>
                <c:manualLayout>
                  <c:x val="-4.2808840880592156E-2"/>
                  <c:y val="7.97423714188036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69-43B0-97BA-9EDBA99CBDEA}"/>
                </c:ext>
              </c:extLst>
            </c:dLbl>
            <c:dLbl>
              <c:idx val="3"/>
              <c:layout>
                <c:manualLayout>
                  <c:x val="-4.6571422011247747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EF-4C11-8766-D0E0D76A2EDD}"/>
                </c:ext>
              </c:extLst>
            </c:dLbl>
            <c:dLbl>
              <c:idx val="4"/>
              <c:layout>
                <c:manualLayout>
                  <c:x val="-3.8100874207580418E-2"/>
                  <c:y val="-6.68205512165869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CEF-4C11-8766-D0E0D76A2EDD}"/>
                </c:ext>
              </c:extLst>
            </c:dLbl>
            <c:dLbl>
              <c:idx val="5"/>
              <c:layout>
                <c:manualLayout>
                  <c:x val="-4.1863455338236044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CEF-4C11-8766-D0E0D76A2EDD}"/>
                </c:ext>
              </c:extLst>
            </c:dLbl>
            <c:dLbl>
              <c:idx val="6"/>
              <c:layout>
                <c:manualLayout>
                  <c:x val="-3.9991497159177179E-2"/>
                  <c:y val="-5.7807482266609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CEF-4C11-8766-D0E0D76A2EDD}"/>
                </c:ext>
              </c:extLst>
            </c:dLbl>
            <c:dLbl>
              <c:idx val="7"/>
              <c:layout>
                <c:manualLayout>
                  <c:x val="-3.5283678619280862E-2"/>
                  <c:y val="-7.6518906230289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CEF-4C11-8766-D0E0D76A2EDD}"/>
                </c:ext>
              </c:extLst>
            </c:dLbl>
            <c:dLbl>
              <c:idx val="8"/>
              <c:layout>
                <c:manualLayout>
                  <c:x val="-3.6219583642252667E-2"/>
                  <c:y val="-9.31686011967333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CEF-4C11-8766-D0E0D76A2EDD}"/>
                </c:ext>
              </c:extLst>
            </c:dLbl>
            <c:dLbl>
              <c:idx val="9"/>
              <c:layout>
                <c:manualLayout>
                  <c:x val="-3.5283678619280862E-2"/>
                  <c:y val="-4.4287878841643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EF-4C11-8766-D0E0D76A2EDD}"/>
                </c:ext>
              </c:extLst>
            </c:dLbl>
            <c:dLbl>
              <c:idx val="10"/>
              <c:layout>
                <c:manualLayout>
                  <c:x val="-3.6615987859010005E-2"/>
                  <c:y val="6.6404260414743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CEF-4C11-8766-D0E0D76A2EDD}"/>
                </c:ext>
              </c:extLst>
            </c:dLbl>
            <c:dLbl>
              <c:idx val="11"/>
              <c:layout>
                <c:manualLayout>
                  <c:x val="-3.7918966741893601E-2"/>
                  <c:y val="9.21221450522769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CEF-4C11-8766-D0E0D76A2EDD}"/>
                </c:ext>
              </c:extLst>
            </c:dLbl>
            <c:dLbl>
              <c:idx val="12"/>
              <c:layout>
                <c:manualLayout>
                  <c:x val="-3.340238805395318E-2"/>
                  <c:y val="8.37855971509480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CEF-4C11-8766-D0E0D76A2EDD}"/>
                </c:ext>
              </c:extLst>
            </c:dLbl>
            <c:dLbl>
              <c:idx val="13"/>
              <c:layout>
                <c:manualLayout>
                  <c:x val="-3.9046259749936488E-2"/>
                  <c:y val="9.335142022965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CEF-4C11-8766-D0E0D76A2EDD}"/>
                </c:ext>
              </c:extLst>
            </c:dLbl>
            <c:dLbl>
              <c:idx val="14"/>
              <c:layout>
                <c:manualLayout>
                  <c:x val="-3.3190557698959441E-2"/>
                  <c:y val="4.25386982187941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CEF-4C11-8766-D0E0D76A2EDD}"/>
                </c:ext>
              </c:extLst>
            </c:dLbl>
            <c:dLbl>
              <c:idx val="15"/>
              <c:layout>
                <c:manualLayout>
                  <c:x val="-2.6079427495135678E-2"/>
                  <c:y val="4.6291329624752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5"/>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Nov-25</c:v>
                </c:pt>
              </c:strCache>
            </c:strRef>
          </c:cat>
          <c:val>
            <c:numRef>
              <c:f>Sheet1!$C$2:$C$16</c:f>
              <c:numCache>
                <c:formatCode>0.0%</c:formatCode>
                <c:ptCount val="15"/>
                <c:pt idx="0">
                  <c:v>0.38838021911923787</c:v>
                </c:pt>
                <c:pt idx="1">
                  <c:v>-4.2613655037908447E-2</c:v>
                </c:pt>
                <c:pt idx="2">
                  <c:v>-0.112</c:v>
                </c:pt>
                <c:pt idx="3">
                  <c:v>0.11363120529620017</c:v>
                </c:pt>
                <c:pt idx="4">
                  <c:v>7.9793243820720741E-2</c:v>
                </c:pt>
                <c:pt idx="5">
                  <c:v>-2.4441282541258274E-3</c:v>
                </c:pt>
                <c:pt idx="6">
                  <c:v>1.5053952111881978E-2</c:v>
                </c:pt>
                <c:pt idx="7">
                  <c:v>-7.0000000000000007E-2</c:v>
                </c:pt>
                <c:pt idx="8">
                  <c:v>-7.5999999999999998E-2</c:v>
                </c:pt>
                <c:pt idx="9">
                  <c:v>-1.4E-2</c:v>
                </c:pt>
                <c:pt idx="10">
                  <c:v>-0.10100000000000001</c:v>
                </c:pt>
                <c:pt idx="11">
                  <c:v>-8.5000000000000006E-2</c:v>
                </c:pt>
                <c:pt idx="12">
                  <c:v>-7.8E-2</c:v>
                </c:pt>
                <c:pt idx="13">
                  <c:v>-9.2999999999999999E-2</c:v>
                </c:pt>
                <c:pt idx="14">
                  <c:v>-0.13</c:v>
                </c:pt>
              </c:numCache>
            </c:numRef>
          </c:val>
          <c:smooth val="0"/>
          <c:extLst>
            <c:ext xmlns:c16="http://schemas.microsoft.com/office/drawing/2014/chart" uri="{C3380CC4-5D6E-409C-BE32-E72D297353CC}">
              <c16:uniqueId val="{0000001B-BCEF-4C11-8766-D0E0D76A2EDD}"/>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15321-0920-462A-A76D-E97A699B9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1980</Words>
  <Characters>11288</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Anne-Marie Roerink</cp:lastModifiedBy>
  <cp:revision>6</cp:revision>
  <dcterms:created xsi:type="dcterms:W3CDTF">2025-12-14T15:58:00Z</dcterms:created>
  <dcterms:modified xsi:type="dcterms:W3CDTF">2025-12-16T13:48:00Z</dcterms:modified>
</cp:coreProperties>
</file>