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0D126E4D" w14:textId="4F50BF33" w:rsidR="00F2712D" w:rsidRPr="000A7977" w:rsidRDefault="004F66BB" w:rsidP="00EB2266">
      <w:pPr>
        <w:pStyle w:val="Heading1"/>
        <w:spacing w:before="0"/>
        <w:rPr>
          <w:rFonts w:ascii="Arial" w:hAnsi="Arial" w:cs="Arial"/>
          <w:color w:val="00857C"/>
          <w:sz w:val="20"/>
          <w:szCs w:val="20"/>
        </w:rPr>
      </w:pPr>
      <w:r>
        <w:rPr>
          <w:rFonts w:ascii="Arial" w:hAnsi="Arial" w:cs="Arial"/>
          <w:color w:val="0F243E" w:themeColor="text2" w:themeShade="80"/>
          <w:sz w:val="30"/>
          <w:szCs w:val="30"/>
        </w:rPr>
        <w:t xml:space="preserve">Earlier </w:t>
      </w:r>
      <w:r w:rsidR="00C217FB">
        <w:rPr>
          <w:rFonts w:ascii="Arial" w:hAnsi="Arial" w:cs="Arial"/>
          <w:color w:val="0F243E" w:themeColor="text2" w:themeShade="80"/>
          <w:sz w:val="30"/>
          <w:szCs w:val="30"/>
        </w:rPr>
        <w:t xml:space="preserve">Start to </w:t>
      </w:r>
      <w:r>
        <w:rPr>
          <w:rFonts w:ascii="Arial" w:hAnsi="Arial" w:cs="Arial"/>
          <w:color w:val="0F243E" w:themeColor="text2" w:themeShade="80"/>
          <w:sz w:val="30"/>
          <w:szCs w:val="30"/>
        </w:rPr>
        <w:t xml:space="preserve">Lent </w:t>
      </w:r>
      <w:r w:rsidR="00C217FB">
        <w:rPr>
          <w:rFonts w:ascii="Arial" w:hAnsi="Arial" w:cs="Arial"/>
          <w:color w:val="0F243E" w:themeColor="text2" w:themeShade="80"/>
          <w:sz w:val="30"/>
          <w:szCs w:val="30"/>
        </w:rPr>
        <w:t>Drives Robust Gains in Seafood Sales</w:t>
      </w:r>
      <w:r>
        <w:rPr>
          <w:rFonts w:ascii="Arial" w:hAnsi="Arial" w:cs="Arial"/>
          <w:color w:val="0F243E" w:themeColor="text2" w:themeShade="80"/>
          <w:sz w:val="30"/>
          <w:szCs w:val="30"/>
        </w:rPr>
        <w:br/>
      </w:r>
      <w:r w:rsidR="00F2712D"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00F2712D" w:rsidRPr="000A7977">
        <w:rPr>
          <w:rFonts w:ascii="Arial" w:hAnsi="Arial" w:cs="Arial"/>
          <w:color w:val="00857C"/>
          <w:sz w:val="20"/>
          <w:szCs w:val="20"/>
        </w:rPr>
        <w:t xml:space="preserve">210 Analytics </w:t>
      </w:r>
    </w:p>
    <w:p w14:paraId="7EF01A31" w14:textId="77777777" w:rsidR="004A26DF" w:rsidRPr="007A7F0E" w:rsidRDefault="004A26DF" w:rsidP="00680C52">
      <w:pPr>
        <w:pStyle w:val="NoSpacing"/>
        <w:rPr>
          <w:rFonts w:ascii="Arial" w:hAnsi="Arial" w:cs="Arial"/>
          <w:sz w:val="18"/>
          <w:szCs w:val="18"/>
        </w:rPr>
      </w:pPr>
    </w:p>
    <w:p w14:paraId="4FAA18EF" w14:textId="29038600" w:rsidR="003B2ECF" w:rsidRPr="003B2ECF" w:rsidRDefault="00D26DD5"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 xml:space="preserve">February </w:t>
      </w:r>
      <w:r w:rsidR="00CD7E54">
        <w:rPr>
          <w:rFonts w:ascii="Arial" w:hAnsi="Arial" w:cs="Arial"/>
          <w:b/>
          <w:bCs/>
          <w:color w:val="00857C"/>
          <w:sz w:val="24"/>
          <w:szCs w:val="24"/>
        </w:rPr>
        <w:t xml:space="preserve">in </w:t>
      </w:r>
      <w:r w:rsidR="003B2ECF" w:rsidRPr="00A357C9">
        <w:rPr>
          <w:rFonts w:ascii="Arial" w:hAnsi="Arial" w:cs="Arial"/>
          <w:b/>
          <w:bCs/>
          <w:color w:val="00857C"/>
          <w:sz w:val="24"/>
          <w:szCs w:val="24"/>
        </w:rPr>
        <w:t>Review</w:t>
      </w:r>
    </w:p>
    <w:bookmarkEnd w:id="0"/>
    <w:bookmarkEnd w:id="1"/>
    <w:bookmarkEnd w:id="2"/>
    <w:bookmarkEnd w:id="3"/>
    <w:p w14:paraId="09920F30" w14:textId="77777777" w:rsidR="00D26DD5" w:rsidRPr="00EF3F1D" w:rsidRDefault="00D26DD5" w:rsidP="00D26DD5">
      <w:pPr>
        <w:pStyle w:val="NoSpacing"/>
        <w:numPr>
          <w:ilvl w:val="0"/>
          <w:numId w:val="26"/>
        </w:numPr>
        <w:rPr>
          <w:rFonts w:ascii="Arial" w:hAnsi="Arial" w:cs="Arial"/>
          <w:sz w:val="20"/>
          <w:szCs w:val="20"/>
        </w:rPr>
      </w:pPr>
      <w:r w:rsidRPr="00EF3F1D">
        <w:rPr>
          <w:rFonts w:ascii="Arial" w:hAnsi="Arial" w:cs="Arial"/>
          <w:sz w:val="20"/>
          <w:szCs w:val="20"/>
        </w:rPr>
        <w:t>The University of Michigan consumer sentiment index climbed to 56.6 in February 2026. This marks the third straight month of slight increases and the highest reading since August 2025.</w:t>
      </w:r>
    </w:p>
    <w:p w14:paraId="435D6540" w14:textId="77777777" w:rsidR="00D26DD5" w:rsidRPr="00EF3F1D" w:rsidRDefault="00D26DD5" w:rsidP="00D26DD5">
      <w:pPr>
        <w:pStyle w:val="NoSpacing"/>
        <w:numPr>
          <w:ilvl w:val="0"/>
          <w:numId w:val="26"/>
        </w:numPr>
        <w:rPr>
          <w:rFonts w:ascii="Arial" w:hAnsi="Arial" w:cs="Arial"/>
          <w:sz w:val="20"/>
          <w:szCs w:val="20"/>
        </w:rPr>
      </w:pPr>
      <w:r w:rsidRPr="00EF3F1D">
        <w:rPr>
          <w:rFonts w:ascii="Arial" w:hAnsi="Arial" w:cs="Arial"/>
          <w:sz w:val="20"/>
          <w:szCs w:val="20"/>
        </w:rPr>
        <w:t>At the same time, shoppers continued to focus on food priorities and eliminating excess to ensure that every dollar spent is a dollar enjoyed. Grocery shopping trips grew by more than 6%, while units per trip fell by 2.7% over the past month, according to Circana household panel insights.</w:t>
      </w:r>
    </w:p>
    <w:p w14:paraId="710226A8" w14:textId="687246C4" w:rsidR="00D26DD5" w:rsidRDefault="0013564D" w:rsidP="00D26DD5">
      <w:pPr>
        <w:pStyle w:val="NoSpacing"/>
        <w:numPr>
          <w:ilvl w:val="0"/>
          <w:numId w:val="26"/>
        </w:numPr>
        <w:rPr>
          <w:rFonts w:ascii="Arial" w:hAnsi="Arial" w:cs="Arial"/>
          <w:sz w:val="20"/>
          <w:szCs w:val="20"/>
        </w:rPr>
      </w:pPr>
      <w:r w:rsidRPr="009E5DA0">
        <w:rPr>
          <w:rFonts w:ascii="Arial" w:hAnsi="Arial" w:cs="Arial"/>
          <w:noProof/>
          <w:sz w:val="20"/>
          <w:szCs w:val="20"/>
          <w:lang w:val="nl-NL" w:eastAsia="nl-NL"/>
        </w:rPr>
        <w:drawing>
          <wp:anchor distT="0" distB="0" distL="114300" distR="114300" simplePos="0" relativeHeight="251694080" behindDoc="1" locked="0" layoutInCell="1" allowOverlap="1" wp14:anchorId="41F113AF" wp14:editId="0311B7AE">
            <wp:simplePos x="0" y="0"/>
            <wp:positionH relativeFrom="margin">
              <wp:align>right</wp:align>
            </wp:positionH>
            <wp:positionV relativeFrom="paragraph">
              <wp:posOffset>14936</wp:posOffset>
            </wp:positionV>
            <wp:extent cx="4555490" cy="1914525"/>
            <wp:effectExtent l="0" t="0" r="16510" b="9525"/>
            <wp:wrapTight wrapText="bothSides">
              <wp:wrapPolygon edited="0">
                <wp:start x="0" y="0"/>
                <wp:lineTo x="0" y="21493"/>
                <wp:lineTo x="21588" y="21493"/>
                <wp:lineTo x="21588" y="0"/>
                <wp:lineTo x="0" y="0"/>
              </wp:wrapPolygon>
            </wp:wrapTight>
            <wp:docPr id="2556196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26DD5" w:rsidRPr="00EF3F1D">
        <w:rPr>
          <w:rFonts w:ascii="Arial" w:hAnsi="Arial" w:cs="Arial"/>
          <w:sz w:val="20"/>
          <w:szCs w:val="20"/>
        </w:rPr>
        <w:t xml:space="preserve">The quad-week sales patterns were impacted by two major weather events. The January Arctic blast that covered much of the country led to a 21% increase in total food and beverage sales during the week ending January 25. This surge was followed by some softness in unit sales during the subsequent three weeks, including the first two weeks of February. </w:t>
      </w:r>
    </w:p>
    <w:p w14:paraId="4C9C8756" w14:textId="301FBB44" w:rsidR="00D26DD5" w:rsidRPr="0013564D" w:rsidRDefault="00D26DD5" w:rsidP="00F1022B">
      <w:pPr>
        <w:pStyle w:val="NoSpacing"/>
        <w:numPr>
          <w:ilvl w:val="0"/>
          <w:numId w:val="26"/>
        </w:numPr>
        <w:rPr>
          <w:rFonts w:ascii="Arial" w:hAnsi="Arial" w:cs="Arial"/>
          <w:sz w:val="20"/>
          <w:szCs w:val="20"/>
        </w:rPr>
      </w:pPr>
      <w:r w:rsidRPr="0013564D">
        <w:rPr>
          <w:rFonts w:ascii="Arial" w:hAnsi="Arial" w:cs="Arial"/>
          <w:sz w:val="20"/>
          <w:szCs w:val="20"/>
        </w:rPr>
        <w:t>Unit sales turned positive again during the week ending February 22, when a second major snowstorm hit the Northeast. Winter Storm Hernando brought blizzard conditions and a 3.2% increase in total food and beverage sales.</w:t>
      </w:r>
      <w:r w:rsidR="0013564D" w:rsidRPr="0013564D">
        <w:rPr>
          <w:rFonts w:ascii="Arial" w:hAnsi="Arial" w:cs="Arial"/>
          <w:sz w:val="20"/>
          <w:szCs w:val="20"/>
        </w:rPr>
        <w:t xml:space="preserve"> </w:t>
      </w:r>
      <w:r w:rsidRPr="0013564D">
        <w:rPr>
          <w:rFonts w:ascii="Arial" w:hAnsi="Arial" w:cs="Arial"/>
          <w:sz w:val="20"/>
          <w:szCs w:val="20"/>
        </w:rPr>
        <w:t>Neither the week ending February 8 (Super Bowl week) nor the week ending February 15 (Valentine’s Day week) generated unit growth.</w:t>
      </w:r>
    </w:p>
    <w:p w14:paraId="2C00DA5E" w14:textId="05342B3E" w:rsidR="00D26DD5" w:rsidRDefault="00D26DD5" w:rsidP="00D26DD5">
      <w:pPr>
        <w:pStyle w:val="NoSpacing"/>
        <w:numPr>
          <w:ilvl w:val="0"/>
          <w:numId w:val="26"/>
        </w:numPr>
        <w:rPr>
          <w:rFonts w:ascii="Arial" w:hAnsi="Arial" w:cs="Arial"/>
          <w:sz w:val="20"/>
          <w:szCs w:val="20"/>
        </w:rPr>
      </w:pPr>
      <w:r w:rsidRPr="009E5DA0">
        <w:rPr>
          <w:rFonts w:ascii="Arial" w:hAnsi="Arial" w:cs="Arial"/>
          <w:noProof/>
          <w:sz w:val="20"/>
          <w:szCs w:val="20"/>
          <w:lang w:val="nl-NL" w:eastAsia="nl-NL"/>
        </w:rPr>
        <w:t>February’s</w:t>
      </w:r>
      <w:r w:rsidRPr="009E5DA0">
        <w:rPr>
          <w:rFonts w:ascii="Arial" w:hAnsi="Arial" w:cs="Arial"/>
          <w:sz w:val="20"/>
          <w:szCs w:val="20"/>
        </w:rPr>
        <w:t xml:space="preserve"> sales patterns </w:t>
      </w:r>
      <w:r>
        <w:rPr>
          <w:rFonts w:ascii="Arial" w:hAnsi="Arial" w:cs="Arial"/>
          <w:sz w:val="20"/>
          <w:szCs w:val="20"/>
        </w:rPr>
        <w:t>were</w:t>
      </w:r>
      <w:r w:rsidRPr="009E5DA0">
        <w:rPr>
          <w:rFonts w:ascii="Arial" w:hAnsi="Arial" w:cs="Arial"/>
          <w:sz w:val="20"/>
          <w:szCs w:val="20"/>
        </w:rPr>
        <w:t xml:space="preserve"> also affected by substantial shifts in Easter timing</w:t>
      </w:r>
      <w:r>
        <w:rPr>
          <w:rFonts w:ascii="Arial" w:hAnsi="Arial" w:cs="Arial"/>
          <w:sz w:val="20"/>
          <w:szCs w:val="20"/>
        </w:rPr>
        <w:t>, especially meat and seafood sales</w:t>
      </w:r>
      <w:r w:rsidRPr="009E5DA0">
        <w:rPr>
          <w:rFonts w:ascii="Arial" w:hAnsi="Arial" w:cs="Arial"/>
          <w:sz w:val="20"/>
          <w:szCs w:val="20"/>
        </w:rPr>
        <w:t xml:space="preserve">. In 2024, Easter fell on March 31. In 2025, Easter shifted a full three weeks later to April 20, moving the start of Lent to Wednesday, March 5. As a result, February 2025 posted double-digit increases, as “everyday” </w:t>
      </w:r>
      <w:r w:rsidR="00567703">
        <w:rPr>
          <w:rFonts w:ascii="Arial" w:hAnsi="Arial" w:cs="Arial"/>
          <w:sz w:val="20"/>
          <w:szCs w:val="20"/>
        </w:rPr>
        <w:t xml:space="preserve">2025 </w:t>
      </w:r>
      <w:r w:rsidRPr="009E5DA0">
        <w:rPr>
          <w:rFonts w:ascii="Arial" w:hAnsi="Arial" w:cs="Arial"/>
          <w:sz w:val="20"/>
          <w:szCs w:val="20"/>
        </w:rPr>
        <w:t xml:space="preserve">weeks were compared with Lent-impacted weeks in 2024. In 2026, Easter </w:t>
      </w:r>
      <w:r w:rsidR="0013564D">
        <w:rPr>
          <w:rFonts w:ascii="Arial" w:hAnsi="Arial" w:cs="Arial"/>
          <w:sz w:val="20"/>
          <w:szCs w:val="20"/>
        </w:rPr>
        <w:t>falls</w:t>
      </w:r>
      <w:r w:rsidRPr="009E5DA0">
        <w:rPr>
          <w:rFonts w:ascii="Arial" w:hAnsi="Arial" w:cs="Arial"/>
          <w:sz w:val="20"/>
          <w:szCs w:val="20"/>
        </w:rPr>
        <w:t xml:space="preserve"> on April 5. That means Lent began February 18, once more disrupting sales patterns for meat, seafood, and related sides and produce.</w:t>
      </w:r>
      <w:r w:rsidR="00567703">
        <w:rPr>
          <w:rFonts w:ascii="Arial" w:hAnsi="Arial" w:cs="Arial"/>
          <w:sz w:val="20"/>
          <w:szCs w:val="20"/>
        </w:rPr>
        <w:t xml:space="preserve"> In this case, Lent-impacted weeks are going up against the “everyday” sales weeks in 2025. </w:t>
      </w:r>
    </w:p>
    <w:p w14:paraId="42713FF2" w14:textId="77777777" w:rsidR="0013564D" w:rsidRDefault="0013564D" w:rsidP="0013564D">
      <w:pPr>
        <w:pStyle w:val="NoSpacing"/>
        <w:rPr>
          <w:rFonts w:ascii="Arial" w:hAnsi="Arial" w:cs="Arial"/>
          <w:sz w:val="20"/>
          <w:szCs w:val="20"/>
        </w:rPr>
      </w:pPr>
    </w:p>
    <w:p w14:paraId="303E1693" w14:textId="4E640862" w:rsidR="0013564D" w:rsidRDefault="00567703" w:rsidP="0013564D">
      <w:pPr>
        <w:pStyle w:val="NoSpacing"/>
        <w:rPr>
          <w:rFonts w:ascii="Arial" w:hAnsi="Arial" w:cs="Arial"/>
          <w:sz w:val="20"/>
          <w:szCs w:val="20"/>
        </w:rPr>
      </w:pPr>
      <w:r w:rsidRPr="00567703">
        <w:drawing>
          <wp:inline distT="0" distB="0" distL="0" distR="0" wp14:anchorId="68EFD840" wp14:editId="48B4EC77">
            <wp:extent cx="6750685" cy="545465"/>
            <wp:effectExtent l="0" t="0" r="0" b="6985"/>
            <wp:docPr id="167791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685" cy="545465"/>
                    </a:xfrm>
                    <a:prstGeom prst="rect">
                      <a:avLst/>
                    </a:prstGeom>
                    <a:noFill/>
                    <a:ln>
                      <a:noFill/>
                    </a:ln>
                  </pic:spPr>
                </pic:pic>
              </a:graphicData>
            </a:graphic>
          </wp:inline>
        </w:drawing>
      </w:r>
    </w:p>
    <w:p w14:paraId="37C5FFBF" w14:textId="77777777" w:rsidR="00D26DD5" w:rsidRPr="00B7673F" w:rsidRDefault="00D26DD5" w:rsidP="00D26DD5">
      <w:pPr>
        <w:pStyle w:val="NoSpacing"/>
        <w:rPr>
          <w:rFonts w:ascii="Arial" w:hAnsi="Arial" w:cs="Arial"/>
          <w:color w:val="7F7F7F" w:themeColor="text1" w:themeTint="80"/>
          <w:sz w:val="16"/>
          <w:szCs w:val="16"/>
        </w:rPr>
      </w:pPr>
      <w:r w:rsidRPr="0013564D">
        <w:rPr>
          <w:rFonts w:ascii="Arial" w:hAnsi="Arial" w:cs="Arial"/>
          <w:color w:val="7F7F7F" w:themeColor="text1" w:themeTint="80"/>
          <w:sz w:val="6"/>
          <w:szCs w:val="6"/>
        </w:rPr>
        <w:br/>
      </w:r>
      <w:r w:rsidRPr="00B7673F">
        <w:rPr>
          <w:rFonts w:ascii="Arial" w:hAnsi="Arial" w:cs="Arial"/>
          <w:color w:val="7F7F7F" w:themeColor="text1" w:themeTint="80"/>
          <w:sz w:val="16"/>
          <w:szCs w:val="16"/>
        </w:rPr>
        <w:t>Source: Circana, Integrated Fresh, Total U.S., MULO+</w:t>
      </w:r>
    </w:p>
    <w:p w14:paraId="5D1F8FEF" w14:textId="77777777" w:rsidR="007A7F0E" w:rsidRPr="008172E5" w:rsidRDefault="007A7F0E" w:rsidP="007A7F0E">
      <w:pPr>
        <w:pStyle w:val="NoSpacing"/>
        <w:ind w:left="360"/>
        <w:rPr>
          <w:rFonts w:ascii="Arial" w:hAnsi="Arial" w:cs="Arial"/>
          <w:sz w:val="20"/>
          <w:szCs w:val="20"/>
        </w:rPr>
      </w:pPr>
    </w:p>
    <w:p w14:paraId="14060F85" w14:textId="2FF93F7E" w:rsidR="001F070E" w:rsidRPr="003B2ECF" w:rsidRDefault="001F070E" w:rsidP="001F070E">
      <w:pPr>
        <w:pStyle w:val="NoSpacing"/>
        <w:rPr>
          <w:rFonts w:ascii="Arial" w:hAnsi="Arial" w:cs="Arial"/>
          <w:b/>
          <w:bCs/>
          <w:color w:val="00857C"/>
          <w:sz w:val="24"/>
          <w:szCs w:val="24"/>
        </w:rPr>
      </w:pPr>
      <w:r>
        <w:rPr>
          <w:rFonts w:ascii="Arial" w:hAnsi="Arial" w:cs="Arial"/>
          <w:b/>
          <w:bCs/>
          <w:color w:val="00857C"/>
          <w:sz w:val="24"/>
          <w:szCs w:val="24"/>
        </w:rPr>
        <w:t>Inflation Insights</w:t>
      </w:r>
    </w:p>
    <w:p w14:paraId="46175333" w14:textId="1574121F" w:rsidR="0013564D" w:rsidRPr="00DF0C47" w:rsidRDefault="0013564D" w:rsidP="0013564D">
      <w:pPr>
        <w:pStyle w:val="NoSpacing"/>
        <w:rPr>
          <w:rFonts w:ascii="Arial" w:hAnsi="Arial" w:cs="Arial"/>
          <w:sz w:val="20"/>
          <w:szCs w:val="20"/>
        </w:rPr>
      </w:pPr>
      <w:bookmarkStart w:id="4" w:name="_Hlk224297685"/>
      <w:r w:rsidRPr="00DF0C47">
        <w:rPr>
          <w:rFonts w:ascii="Arial" w:hAnsi="Arial" w:cs="Arial"/>
          <w:sz w:val="20"/>
          <w:szCs w:val="20"/>
        </w:rPr>
        <w:t xml:space="preserve">Retail total food and beverage price growth </w:t>
      </w:r>
      <w:r>
        <w:rPr>
          <w:rFonts w:ascii="Arial" w:hAnsi="Arial" w:cs="Arial"/>
          <w:sz w:val="20"/>
          <w:szCs w:val="20"/>
        </w:rPr>
        <w:t>averaged 2</w:t>
      </w:r>
      <w:r w:rsidRPr="00DF0C47">
        <w:rPr>
          <w:rFonts w:ascii="Arial" w:hAnsi="Arial" w:cs="Arial"/>
          <w:sz w:val="20"/>
          <w:szCs w:val="20"/>
        </w:rPr>
        <w:t>.</w:t>
      </w:r>
      <w:r>
        <w:rPr>
          <w:rFonts w:ascii="Arial" w:hAnsi="Arial" w:cs="Arial"/>
          <w:sz w:val="20"/>
          <w:szCs w:val="20"/>
        </w:rPr>
        <w:t>0</w:t>
      </w:r>
      <w:r w:rsidRPr="00DF0C47">
        <w:rPr>
          <w:rFonts w:ascii="Arial" w:hAnsi="Arial" w:cs="Arial"/>
          <w:sz w:val="20"/>
          <w:szCs w:val="20"/>
        </w:rPr>
        <w:t xml:space="preserve">% in </w:t>
      </w:r>
      <w:r>
        <w:rPr>
          <w:rFonts w:ascii="Arial" w:hAnsi="Arial" w:cs="Arial"/>
          <w:sz w:val="20"/>
          <w:szCs w:val="20"/>
        </w:rPr>
        <w:t xml:space="preserve">February </w:t>
      </w:r>
      <w:r w:rsidRPr="00DF0C47">
        <w:rPr>
          <w:rFonts w:ascii="Arial" w:hAnsi="Arial" w:cs="Arial"/>
          <w:sz w:val="20"/>
          <w:szCs w:val="20"/>
        </w:rPr>
        <w:t>2026 (the f</w:t>
      </w:r>
      <w:r>
        <w:rPr>
          <w:rFonts w:ascii="Arial" w:hAnsi="Arial" w:cs="Arial"/>
          <w:sz w:val="20"/>
          <w:szCs w:val="20"/>
        </w:rPr>
        <w:t>our</w:t>
      </w:r>
      <w:r w:rsidRPr="00DF0C47">
        <w:rPr>
          <w:rFonts w:ascii="Arial" w:hAnsi="Arial" w:cs="Arial"/>
          <w:sz w:val="20"/>
          <w:szCs w:val="20"/>
        </w:rPr>
        <w:t xml:space="preserve"> weeks ending </w:t>
      </w:r>
      <w:r>
        <w:rPr>
          <w:rFonts w:ascii="Arial" w:hAnsi="Arial" w:cs="Arial"/>
          <w:sz w:val="20"/>
          <w:szCs w:val="20"/>
        </w:rPr>
        <w:t>3</w:t>
      </w:r>
      <w:r w:rsidRPr="00DF0C47">
        <w:rPr>
          <w:rFonts w:ascii="Arial" w:hAnsi="Arial" w:cs="Arial"/>
          <w:sz w:val="20"/>
          <w:szCs w:val="20"/>
        </w:rPr>
        <w:t>/1/2026). Many center-store aisles continued to show price growth acceleration in</w:t>
      </w:r>
      <w:r>
        <w:rPr>
          <w:rFonts w:ascii="Arial" w:hAnsi="Arial" w:cs="Arial"/>
          <w:sz w:val="20"/>
          <w:szCs w:val="20"/>
        </w:rPr>
        <w:t xml:space="preserve"> February. In contrast, the average price per unit across meat, produce, bakery, deli and seafood dropped by 0.3% in comparison to February 2025, heavily influenced by the rapid decline in egg prices. The </w:t>
      </w:r>
      <w:r w:rsidRPr="00DF0C47">
        <w:rPr>
          <w:rFonts w:ascii="Arial" w:hAnsi="Arial" w:cs="Arial"/>
          <w:sz w:val="20"/>
          <w:szCs w:val="20"/>
        </w:rPr>
        <w:t>average price per unit</w:t>
      </w:r>
      <w:r w:rsidR="00C217FB">
        <w:rPr>
          <w:rFonts w:ascii="Arial" w:hAnsi="Arial" w:cs="Arial"/>
          <w:sz w:val="20"/>
          <w:szCs w:val="20"/>
        </w:rPr>
        <w:t xml:space="preserve"> across all food and beverages</w:t>
      </w:r>
      <w:r w:rsidRPr="00DF0C47">
        <w:rPr>
          <w:rFonts w:ascii="Arial" w:hAnsi="Arial" w:cs="Arial"/>
          <w:sz w:val="20"/>
          <w:szCs w:val="20"/>
        </w:rPr>
        <w:t xml:space="preserve"> in the Circana MULO+ universe was $4.</w:t>
      </w:r>
      <w:r w:rsidR="00C217FB">
        <w:rPr>
          <w:rFonts w:ascii="Arial" w:hAnsi="Arial" w:cs="Arial"/>
          <w:sz w:val="20"/>
          <w:szCs w:val="20"/>
        </w:rPr>
        <w:t>3</w:t>
      </w:r>
      <w:r>
        <w:rPr>
          <w:rFonts w:ascii="Arial" w:hAnsi="Arial" w:cs="Arial"/>
          <w:sz w:val="20"/>
          <w:szCs w:val="20"/>
        </w:rPr>
        <w:t>7</w:t>
      </w:r>
      <w:r w:rsidRPr="00DF0C47">
        <w:rPr>
          <w:rFonts w:ascii="Arial" w:hAnsi="Arial" w:cs="Arial"/>
          <w:sz w:val="20"/>
          <w:szCs w:val="20"/>
        </w:rPr>
        <w:t xml:space="preserve">, up </w:t>
      </w:r>
      <w:r>
        <w:rPr>
          <w:rFonts w:ascii="Arial" w:hAnsi="Arial" w:cs="Arial"/>
          <w:sz w:val="20"/>
          <w:szCs w:val="20"/>
        </w:rPr>
        <w:t>2.0</w:t>
      </w:r>
      <w:r w:rsidRPr="00DF0C47">
        <w:rPr>
          <w:rFonts w:ascii="Arial" w:hAnsi="Arial" w:cs="Arial"/>
          <w:sz w:val="20"/>
          <w:szCs w:val="20"/>
        </w:rPr>
        <w:t>% year-over-year.</w:t>
      </w:r>
      <w:r w:rsidR="00567703">
        <w:rPr>
          <w:rFonts w:ascii="Arial" w:hAnsi="Arial" w:cs="Arial"/>
          <w:sz w:val="20"/>
          <w:szCs w:val="20"/>
        </w:rPr>
        <w:t xml:space="preserve"> Prices </w:t>
      </w:r>
      <w:r w:rsidR="00C217FB">
        <w:rPr>
          <w:rFonts w:ascii="Arial" w:hAnsi="Arial" w:cs="Arial"/>
          <w:sz w:val="20"/>
          <w:szCs w:val="20"/>
        </w:rPr>
        <w:t xml:space="preserve">are </w:t>
      </w:r>
      <w:r w:rsidR="00567703">
        <w:rPr>
          <w:rFonts w:ascii="Arial" w:hAnsi="Arial" w:cs="Arial"/>
          <w:sz w:val="20"/>
          <w:szCs w:val="20"/>
        </w:rPr>
        <w:t xml:space="preserve">also affected by the later Easter timing, with promotional activity typically gearing up in the weeks leading up to the holiday. </w:t>
      </w:r>
    </w:p>
    <w:p w14:paraId="07DFAA8A" w14:textId="77777777" w:rsidR="0013564D" w:rsidRPr="00DF0C47" w:rsidRDefault="0013564D" w:rsidP="0013564D">
      <w:pPr>
        <w:pStyle w:val="NoSpacing"/>
        <w:numPr>
          <w:ilvl w:val="0"/>
          <w:numId w:val="22"/>
        </w:numPr>
        <w:rPr>
          <w:rFonts w:ascii="Arial" w:hAnsi="Arial" w:cs="Arial"/>
          <w:sz w:val="20"/>
          <w:szCs w:val="20"/>
        </w:rPr>
      </w:pPr>
      <w:r w:rsidRPr="00DF0C47">
        <w:rPr>
          <w:rFonts w:ascii="Arial" w:hAnsi="Arial" w:cs="Arial"/>
          <w:sz w:val="20"/>
          <w:szCs w:val="20"/>
        </w:rPr>
        <w:t>Center-store prices averaged $</w:t>
      </w:r>
      <w:r>
        <w:rPr>
          <w:rFonts w:ascii="Arial" w:hAnsi="Arial" w:cs="Arial"/>
          <w:sz w:val="20"/>
          <w:szCs w:val="20"/>
        </w:rPr>
        <w:t>4.10</w:t>
      </w:r>
      <w:r w:rsidRPr="00DF0C47">
        <w:rPr>
          <w:rFonts w:ascii="Arial" w:hAnsi="Arial" w:cs="Arial"/>
          <w:sz w:val="20"/>
          <w:szCs w:val="20"/>
        </w:rPr>
        <w:t xml:space="preserve">, an increase of </w:t>
      </w:r>
      <w:r>
        <w:rPr>
          <w:rFonts w:ascii="Arial" w:hAnsi="Arial" w:cs="Arial"/>
          <w:sz w:val="20"/>
          <w:szCs w:val="20"/>
        </w:rPr>
        <w:t>4.4</w:t>
      </w:r>
      <w:r w:rsidRPr="00DF0C47">
        <w:rPr>
          <w:rFonts w:ascii="Arial" w:hAnsi="Arial" w:cs="Arial"/>
          <w:sz w:val="20"/>
          <w:szCs w:val="20"/>
        </w:rPr>
        <w:t>% year-over-year.</w:t>
      </w:r>
    </w:p>
    <w:p w14:paraId="2A9E2FE6" w14:textId="77777777" w:rsidR="0013564D" w:rsidRPr="00DF0C47" w:rsidRDefault="0013564D" w:rsidP="0013564D">
      <w:pPr>
        <w:pStyle w:val="NoSpacing"/>
        <w:numPr>
          <w:ilvl w:val="0"/>
          <w:numId w:val="22"/>
        </w:numPr>
        <w:rPr>
          <w:rFonts w:ascii="Arial" w:hAnsi="Arial" w:cs="Arial"/>
          <w:sz w:val="20"/>
          <w:szCs w:val="20"/>
        </w:rPr>
      </w:pPr>
      <w:r w:rsidRPr="00DF0C47">
        <w:rPr>
          <w:rFonts w:ascii="Arial" w:hAnsi="Arial" w:cs="Arial"/>
          <w:sz w:val="20"/>
          <w:szCs w:val="20"/>
        </w:rPr>
        <w:t>Perishable prices averaged $</w:t>
      </w:r>
      <w:r>
        <w:rPr>
          <w:rFonts w:ascii="Arial" w:hAnsi="Arial" w:cs="Arial"/>
          <w:sz w:val="20"/>
          <w:szCs w:val="20"/>
        </w:rPr>
        <w:t>4.43</w:t>
      </w:r>
      <w:r w:rsidRPr="00DF0C47">
        <w:rPr>
          <w:rFonts w:ascii="Arial" w:hAnsi="Arial" w:cs="Arial"/>
          <w:sz w:val="20"/>
          <w:szCs w:val="20"/>
        </w:rPr>
        <w:t xml:space="preserve"> per unit, </w:t>
      </w:r>
      <w:r>
        <w:rPr>
          <w:rFonts w:ascii="Arial" w:hAnsi="Arial" w:cs="Arial"/>
          <w:sz w:val="20"/>
          <w:szCs w:val="20"/>
        </w:rPr>
        <w:t>down slightly, at -0.3% compared with February 2025</w:t>
      </w:r>
      <w:r w:rsidRPr="00DF0C47">
        <w:rPr>
          <w:rFonts w:ascii="Arial" w:hAnsi="Arial" w:cs="Arial"/>
          <w:sz w:val="20"/>
          <w:szCs w:val="20"/>
        </w:rPr>
        <w:t>.</w:t>
      </w:r>
    </w:p>
    <w:bookmarkEnd w:id="4"/>
    <w:p w14:paraId="02A7D507" w14:textId="77777777" w:rsidR="003D0A39" w:rsidRPr="00C91044" w:rsidRDefault="003D0A39" w:rsidP="003D0A39">
      <w:pPr>
        <w:pStyle w:val="NoSpacing"/>
        <w:rPr>
          <w:rFonts w:ascii="Arial" w:hAnsi="Arial" w:cs="Arial"/>
          <w:sz w:val="20"/>
          <w:szCs w:val="20"/>
        </w:rPr>
      </w:pPr>
    </w:p>
    <w:tbl>
      <w:tblPr>
        <w:tblStyle w:val="GridTable4"/>
        <w:tblW w:w="105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739"/>
        <w:gridCol w:w="777"/>
        <w:gridCol w:w="739"/>
        <w:gridCol w:w="855"/>
        <w:gridCol w:w="784"/>
        <w:gridCol w:w="785"/>
        <w:gridCol w:w="785"/>
        <w:gridCol w:w="785"/>
        <w:gridCol w:w="784"/>
        <w:gridCol w:w="785"/>
        <w:gridCol w:w="785"/>
        <w:gridCol w:w="785"/>
      </w:tblGrid>
      <w:tr w:rsidR="003D0A39" w:rsidRPr="00545B05" w14:paraId="712389F8" w14:textId="77777777" w:rsidTr="003D0A3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37" w:type="dxa"/>
            <w:shd w:val="clear" w:color="auto" w:fill="17365D" w:themeFill="text2" w:themeFillShade="BF"/>
            <w:hideMark/>
          </w:tcPr>
          <w:p w14:paraId="7BA4303A" w14:textId="77777777" w:rsidR="003D0A39" w:rsidRPr="002E7AF4" w:rsidRDefault="003D0A39" w:rsidP="00F82D45">
            <w:pPr>
              <w:pStyle w:val="NoSpacing"/>
              <w:rPr>
                <w:rFonts w:ascii="Arial" w:hAnsi="Arial" w:cs="Arial"/>
                <w:sz w:val="18"/>
              </w:rPr>
            </w:pPr>
            <w:r w:rsidRPr="002E7AF4">
              <w:rPr>
                <w:rFonts w:ascii="Arial" w:hAnsi="Arial" w:cs="Arial"/>
                <w:sz w:val="18"/>
              </w:rPr>
              <w:t>Food &amp; beverages</w:t>
            </w:r>
          </w:p>
        </w:tc>
        <w:tc>
          <w:tcPr>
            <w:tcW w:w="739" w:type="dxa"/>
            <w:shd w:val="clear" w:color="auto" w:fill="17365D" w:themeFill="text2" w:themeFillShade="BF"/>
            <w:vAlign w:val="center"/>
            <w:hideMark/>
          </w:tcPr>
          <w:p w14:paraId="64DB143C"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777" w:type="dxa"/>
            <w:shd w:val="clear" w:color="auto" w:fill="17365D" w:themeFill="text2" w:themeFillShade="BF"/>
            <w:vAlign w:val="center"/>
            <w:hideMark/>
          </w:tcPr>
          <w:p w14:paraId="43A4399B"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739" w:type="dxa"/>
            <w:shd w:val="clear" w:color="auto" w:fill="17365D" w:themeFill="text2" w:themeFillShade="BF"/>
            <w:vAlign w:val="center"/>
            <w:hideMark/>
          </w:tcPr>
          <w:p w14:paraId="0E42DA29"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55" w:type="dxa"/>
            <w:shd w:val="clear" w:color="auto" w:fill="17365D" w:themeFill="text2" w:themeFillShade="BF"/>
            <w:vAlign w:val="center"/>
            <w:hideMark/>
          </w:tcPr>
          <w:p w14:paraId="35B80B1F"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784" w:type="dxa"/>
            <w:shd w:val="clear" w:color="auto" w:fill="17365D" w:themeFill="text2" w:themeFillShade="BF"/>
            <w:vAlign w:val="center"/>
            <w:hideMark/>
          </w:tcPr>
          <w:p w14:paraId="708F6EE3"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785" w:type="dxa"/>
            <w:shd w:val="clear" w:color="auto" w:fill="17365D" w:themeFill="text2" w:themeFillShade="BF"/>
            <w:vAlign w:val="center"/>
          </w:tcPr>
          <w:p w14:paraId="499DF75F"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785" w:type="dxa"/>
            <w:shd w:val="clear" w:color="auto" w:fill="17365D" w:themeFill="text2" w:themeFillShade="BF"/>
            <w:vAlign w:val="center"/>
          </w:tcPr>
          <w:p w14:paraId="4C27C98F" w14:textId="77777777" w:rsidR="003D0A39" w:rsidRPr="002E7AF4" w:rsidRDefault="003D0A39" w:rsidP="00F82D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2025</w:t>
            </w:r>
          </w:p>
        </w:tc>
        <w:tc>
          <w:tcPr>
            <w:tcW w:w="785" w:type="dxa"/>
            <w:shd w:val="clear" w:color="auto" w:fill="17365D" w:themeFill="text2" w:themeFillShade="BF"/>
            <w:vAlign w:val="center"/>
          </w:tcPr>
          <w:p w14:paraId="2D6C48D2"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784" w:type="dxa"/>
            <w:shd w:val="clear" w:color="auto" w:fill="17365D" w:themeFill="text2" w:themeFillShade="BF"/>
            <w:hideMark/>
          </w:tcPr>
          <w:p w14:paraId="2E3259E9"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Q2 2025</w:t>
            </w:r>
          </w:p>
        </w:tc>
        <w:tc>
          <w:tcPr>
            <w:tcW w:w="785" w:type="dxa"/>
            <w:shd w:val="clear" w:color="auto" w:fill="17365D" w:themeFill="text2" w:themeFillShade="BF"/>
          </w:tcPr>
          <w:p w14:paraId="5CB00D45" w14:textId="77777777" w:rsidR="003D0A39"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Q3 2025</w:t>
            </w:r>
          </w:p>
        </w:tc>
        <w:tc>
          <w:tcPr>
            <w:tcW w:w="785" w:type="dxa"/>
            <w:shd w:val="clear" w:color="auto" w:fill="17365D" w:themeFill="text2" w:themeFillShade="BF"/>
          </w:tcPr>
          <w:p w14:paraId="68F9F0CC" w14:textId="77777777" w:rsidR="003D0A39"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Q4 2025</w:t>
            </w:r>
          </w:p>
        </w:tc>
        <w:tc>
          <w:tcPr>
            <w:tcW w:w="785" w:type="dxa"/>
            <w:shd w:val="clear" w:color="auto" w:fill="17365D" w:themeFill="text2" w:themeFillShade="BF"/>
            <w:vAlign w:val="center"/>
            <w:hideMark/>
          </w:tcPr>
          <w:p w14:paraId="5797AF0E" w14:textId="4BA0F666" w:rsidR="003D0A39" w:rsidRPr="002E7AF4" w:rsidRDefault="0013564D" w:rsidP="0008105C">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Feb</w:t>
            </w:r>
            <w:r w:rsidR="003D0A39">
              <w:rPr>
                <w:rFonts w:ascii="Arial" w:hAnsi="Arial" w:cs="Arial"/>
                <w:sz w:val="18"/>
              </w:rPr>
              <w:t>.</w:t>
            </w:r>
            <w:r w:rsidR="003D0A39" w:rsidRPr="002E7AF4">
              <w:rPr>
                <w:rFonts w:ascii="Arial" w:hAnsi="Arial" w:cs="Arial"/>
                <w:sz w:val="18"/>
              </w:rPr>
              <w:br/>
              <w:t>202</w:t>
            </w:r>
            <w:r w:rsidR="0008105C">
              <w:rPr>
                <w:rFonts w:ascii="Arial" w:hAnsi="Arial" w:cs="Arial"/>
                <w:sz w:val="18"/>
              </w:rPr>
              <w:t>6</w:t>
            </w:r>
          </w:p>
        </w:tc>
      </w:tr>
      <w:tr w:rsidR="003D0A39" w:rsidRPr="00545B05" w14:paraId="2BB34CCD" w14:textId="77777777" w:rsidTr="003D0A3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7" w:type="dxa"/>
          </w:tcPr>
          <w:p w14:paraId="7B70DFC8" w14:textId="77777777" w:rsidR="003D0A39" w:rsidRPr="00A55502" w:rsidRDefault="003D0A39" w:rsidP="00F82D45">
            <w:pPr>
              <w:pStyle w:val="NoSpacing"/>
              <w:rPr>
                <w:rFonts w:ascii="Arial" w:hAnsi="Arial" w:cs="Arial"/>
                <w:b w:val="0"/>
                <w:bCs w:val="0"/>
                <w:sz w:val="18"/>
              </w:rPr>
            </w:pPr>
            <w:r w:rsidRPr="00A55502">
              <w:rPr>
                <w:rFonts w:ascii="Arial" w:hAnsi="Arial" w:cs="Arial"/>
                <w:b w:val="0"/>
                <w:bCs w:val="0"/>
                <w:sz w:val="18"/>
              </w:rPr>
              <w:t>PPU</w:t>
            </w:r>
          </w:p>
        </w:tc>
        <w:tc>
          <w:tcPr>
            <w:tcW w:w="739" w:type="dxa"/>
            <w:vAlign w:val="center"/>
          </w:tcPr>
          <w:p w14:paraId="3446030D"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777" w:type="dxa"/>
            <w:vAlign w:val="center"/>
          </w:tcPr>
          <w:p w14:paraId="7CEFEC40"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739" w:type="dxa"/>
            <w:vAlign w:val="center"/>
          </w:tcPr>
          <w:p w14:paraId="1B474DFC"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55" w:type="dxa"/>
            <w:vAlign w:val="center"/>
          </w:tcPr>
          <w:p w14:paraId="19878468"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784" w:type="dxa"/>
            <w:vAlign w:val="center"/>
          </w:tcPr>
          <w:p w14:paraId="7EEF44AC"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785" w:type="dxa"/>
            <w:vAlign w:val="center"/>
          </w:tcPr>
          <w:p w14:paraId="3C2A71D9"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785" w:type="dxa"/>
          </w:tcPr>
          <w:p w14:paraId="435E52F2"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$4.29</w:t>
            </w:r>
          </w:p>
        </w:tc>
        <w:tc>
          <w:tcPr>
            <w:tcW w:w="785" w:type="dxa"/>
            <w:vAlign w:val="center"/>
          </w:tcPr>
          <w:p w14:paraId="14A0E1D6"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4.25</w:t>
            </w:r>
          </w:p>
        </w:tc>
        <w:tc>
          <w:tcPr>
            <w:tcW w:w="784" w:type="dxa"/>
          </w:tcPr>
          <w:p w14:paraId="7B049300"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$4.30</w:t>
            </w:r>
          </w:p>
        </w:tc>
        <w:tc>
          <w:tcPr>
            <w:tcW w:w="785" w:type="dxa"/>
            <w:vAlign w:val="center"/>
          </w:tcPr>
          <w:p w14:paraId="7988530B"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4.31</w:t>
            </w:r>
          </w:p>
        </w:tc>
        <w:tc>
          <w:tcPr>
            <w:tcW w:w="785" w:type="dxa"/>
            <w:vAlign w:val="center"/>
          </w:tcPr>
          <w:p w14:paraId="7DE6CA7F"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4.32</w:t>
            </w:r>
          </w:p>
        </w:tc>
        <w:tc>
          <w:tcPr>
            <w:tcW w:w="785" w:type="dxa"/>
            <w:vAlign w:val="center"/>
          </w:tcPr>
          <w:p w14:paraId="19F373EF" w14:textId="74118502" w:rsidR="003D0A39" w:rsidRPr="002E7AF4" w:rsidRDefault="003D0A39" w:rsidP="0008105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sidR="001F070E">
              <w:rPr>
                <w:rFonts w:ascii="Arial" w:hAnsi="Arial" w:cs="Arial"/>
                <w:sz w:val="18"/>
              </w:rPr>
              <w:t>4.</w:t>
            </w:r>
            <w:r w:rsidR="0013564D">
              <w:rPr>
                <w:rFonts w:ascii="Arial" w:hAnsi="Arial" w:cs="Arial"/>
                <w:sz w:val="18"/>
              </w:rPr>
              <w:t>37</w:t>
            </w:r>
          </w:p>
        </w:tc>
      </w:tr>
      <w:tr w:rsidR="003D0A39" w:rsidRPr="00545B05" w14:paraId="7AEDB14E" w14:textId="77777777" w:rsidTr="003D0A39">
        <w:trPr>
          <w:trHeight w:val="226"/>
        </w:trPr>
        <w:tc>
          <w:tcPr>
            <w:cnfStyle w:val="001000000000" w:firstRow="0" w:lastRow="0" w:firstColumn="1" w:lastColumn="0" w:oddVBand="0" w:evenVBand="0" w:oddHBand="0" w:evenHBand="0" w:firstRowFirstColumn="0" w:firstRowLastColumn="0" w:lastRowFirstColumn="0" w:lastRowLastColumn="0"/>
            <w:tcW w:w="1137" w:type="dxa"/>
            <w:hideMark/>
          </w:tcPr>
          <w:p w14:paraId="18961810" w14:textId="77777777" w:rsidR="003D0A39" w:rsidRPr="00A55502" w:rsidRDefault="003D0A39" w:rsidP="00F82D45">
            <w:pPr>
              <w:pStyle w:val="NoSpacing"/>
              <w:rPr>
                <w:rFonts w:ascii="Arial" w:hAnsi="Arial" w:cs="Arial"/>
                <w:b w:val="0"/>
                <w:bCs w:val="0"/>
                <w:sz w:val="18"/>
              </w:rPr>
            </w:pPr>
            <w:r w:rsidRPr="00A55502">
              <w:rPr>
                <w:rFonts w:ascii="Arial" w:hAnsi="Arial" w:cs="Arial"/>
                <w:b w:val="0"/>
                <w:bCs w:val="0"/>
                <w:sz w:val="18"/>
              </w:rPr>
              <w:t xml:space="preserve">Change </w:t>
            </w:r>
          </w:p>
        </w:tc>
        <w:tc>
          <w:tcPr>
            <w:tcW w:w="739" w:type="dxa"/>
            <w:vAlign w:val="center"/>
            <w:hideMark/>
          </w:tcPr>
          <w:p w14:paraId="5125CB25"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777" w:type="dxa"/>
            <w:vAlign w:val="center"/>
            <w:hideMark/>
          </w:tcPr>
          <w:p w14:paraId="31EF2029"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739" w:type="dxa"/>
            <w:vAlign w:val="center"/>
            <w:hideMark/>
          </w:tcPr>
          <w:p w14:paraId="3DB196F1"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55" w:type="dxa"/>
            <w:vAlign w:val="center"/>
            <w:hideMark/>
          </w:tcPr>
          <w:p w14:paraId="60F8716B"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784" w:type="dxa"/>
            <w:vAlign w:val="center"/>
            <w:hideMark/>
          </w:tcPr>
          <w:p w14:paraId="3623F5DB"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785" w:type="dxa"/>
            <w:vAlign w:val="center"/>
          </w:tcPr>
          <w:p w14:paraId="1C9BA030"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785" w:type="dxa"/>
          </w:tcPr>
          <w:p w14:paraId="195D0BCF"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+2.6%</w:t>
            </w:r>
          </w:p>
        </w:tc>
        <w:tc>
          <w:tcPr>
            <w:tcW w:w="785" w:type="dxa"/>
            <w:vAlign w:val="center"/>
          </w:tcPr>
          <w:p w14:paraId="219ACAC9"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3.2</w:t>
            </w:r>
            <w:r w:rsidRPr="002E7AF4">
              <w:rPr>
                <w:rFonts w:ascii="Arial" w:hAnsi="Arial" w:cs="Arial"/>
                <w:sz w:val="18"/>
              </w:rPr>
              <w:t>%</w:t>
            </w:r>
          </w:p>
        </w:tc>
        <w:tc>
          <w:tcPr>
            <w:tcW w:w="784" w:type="dxa"/>
            <w:hideMark/>
          </w:tcPr>
          <w:p w14:paraId="4A62388B"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+2.7%</w:t>
            </w:r>
          </w:p>
        </w:tc>
        <w:tc>
          <w:tcPr>
            <w:tcW w:w="785" w:type="dxa"/>
            <w:vAlign w:val="center"/>
          </w:tcPr>
          <w:p w14:paraId="351FF6D3"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3.0</w:t>
            </w:r>
            <w:r w:rsidRPr="002E7AF4">
              <w:rPr>
                <w:rFonts w:ascii="Arial" w:hAnsi="Arial" w:cs="Arial"/>
                <w:sz w:val="18"/>
              </w:rPr>
              <w:t>%</w:t>
            </w:r>
          </w:p>
        </w:tc>
        <w:tc>
          <w:tcPr>
            <w:tcW w:w="785" w:type="dxa"/>
            <w:vAlign w:val="center"/>
          </w:tcPr>
          <w:p w14:paraId="264CDDB0"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1.8</w:t>
            </w:r>
            <w:r w:rsidRPr="002E7AF4">
              <w:rPr>
                <w:rFonts w:ascii="Arial" w:hAnsi="Arial" w:cs="Arial"/>
                <w:sz w:val="18"/>
              </w:rPr>
              <w:t>%</w:t>
            </w:r>
          </w:p>
        </w:tc>
        <w:tc>
          <w:tcPr>
            <w:tcW w:w="785" w:type="dxa"/>
            <w:vAlign w:val="center"/>
            <w:hideMark/>
          </w:tcPr>
          <w:p w14:paraId="6DE16507" w14:textId="6F17521C"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sidR="0013564D">
              <w:rPr>
                <w:rFonts w:ascii="Arial" w:hAnsi="Arial" w:cs="Arial"/>
                <w:sz w:val="18"/>
              </w:rPr>
              <w:t>2.0</w:t>
            </w:r>
            <w:r w:rsidRPr="002E7AF4">
              <w:rPr>
                <w:rFonts w:ascii="Arial" w:hAnsi="Arial" w:cs="Arial"/>
                <w:sz w:val="18"/>
              </w:rPr>
              <w:t>%</w:t>
            </w:r>
          </w:p>
        </w:tc>
      </w:tr>
    </w:tbl>
    <w:p w14:paraId="0BB7EF9B" w14:textId="77777777" w:rsidR="003D0A39" w:rsidRPr="00492C26" w:rsidRDefault="003D0A39" w:rsidP="003D0A39">
      <w:pPr>
        <w:pStyle w:val="NoSpacing"/>
        <w:rPr>
          <w:sz w:val="8"/>
          <w:szCs w:val="8"/>
        </w:rPr>
      </w:pPr>
    </w:p>
    <w:p w14:paraId="2A6FC0F0" w14:textId="77777777" w:rsidR="003D0A39" w:rsidRPr="00B7673F" w:rsidRDefault="003D0A39" w:rsidP="003D0A39">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Source: Circana, Integrated Fresh, Total U.S., MULO+</w:t>
      </w:r>
    </w:p>
    <w:p w14:paraId="4C8804B3" w14:textId="6D9F91C4" w:rsidR="00A357C9" w:rsidRPr="007A7F0E" w:rsidRDefault="00A357C9" w:rsidP="00CF02B0">
      <w:pPr>
        <w:spacing w:after="0" w:line="240" w:lineRule="auto"/>
        <w:rPr>
          <w:rFonts w:ascii="Arial" w:hAnsi="Arial" w:cs="Arial"/>
          <w:bCs/>
          <w:color w:val="000000" w:themeColor="text1"/>
          <w:sz w:val="16"/>
          <w:szCs w:val="16"/>
        </w:rPr>
      </w:pPr>
    </w:p>
    <w:p w14:paraId="042227DE" w14:textId="77777777" w:rsidR="00567703" w:rsidRDefault="00567703" w:rsidP="00F60945">
      <w:pPr>
        <w:spacing w:after="0" w:line="240" w:lineRule="auto"/>
        <w:rPr>
          <w:rFonts w:ascii="Arial" w:hAnsi="Arial" w:cs="Arial"/>
          <w:bCs/>
          <w:color w:val="000000" w:themeColor="text1"/>
          <w:sz w:val="20"/>
          <w:szCs w:val="20"/>
        </w:rPr>
      </w:pPr>
    </w:p>
    <w:p w14:paraId="367E2484" w14:textId="76582D7C" w:rsidR="005F0766" w:rsidRPr="00F60945" w:rsidRDefault="0082179A" w:rsidP="00F60945">
      <w:pPr>
        <w:spacing w:after="0" w:line="240" w:lineRule="auto"/>
        <w:rPr>
          <w:sz w:val="10"/>
          <w:szCs w:val="10"/>
        </w:rPr>
      </w:pPr>
      <w:r>
        <w:rPr>
          <w:rFonts w:ascii="Arial" w:hAnsi="Arial" w:cs="Arial"/>
          <w:bCs/>
          <w:color w:val="000000" w:themeColor="text1"/>
          <w:sz w:val="20"/>
          <w:szCs w:val="20"/>
        </w:rPr>
        <w:t xml:space="preserve">Across species, </w:t>
      </w:r>
      <w:r w:rsidR="003A315E">
        <w:rPr>
          <w:rFonts w:ascii="Arial" w:hAnsi="Arial" w:cs="Arial"/>
          <w:bCs/>
          <w:color w:val="000000" w:themeColor="text1"/>
          <w:sz w:val="20"/>
          <w:szCs w:val="20"/>
        </w:rPr>
        <w:t>fresh</w:t>
      </w:r>
      <w:r w:rsidR="00160D81">
        <w:rPr>
          <w:rFonts w:ascii="Arial" w:hAnsi="Arial" w:cs="Arial"/>
          <w:bCs/>
          <w:color w:val="000000" w:themeColor="text1"/>
          <w:sz w:val="20"/>
          <w:szCs w:val="20"/>
        </w:rPr>
        <w:t xml:space="preserve"> (refrigerated)</w:t>
      </w:r>
      <w:r w:rsidR="003A315E">
        <w:rPr>
          <w:rFonts w:ascii="Arial" w:hAnsi="Arial" w:cs="Arial"/>
          <w:bCs/>
          <w:color w:val="000000" w:themeColor="text1"/>
          <w:sz w:val="20"/>
          <w:szCs w:val="20"/>
        </w:rPr>
        <w:t xml:space="preserve"> </w:t>
      </w:r>
      <w:r w:rsidR="00160D81">
        <w:rPr>
          <w:rFonts w:ascii="Arial" w:hAnsi="Arial" w:cs="Arial"/>
          <w:bCs/>
          <w:color w:val="000000" w:themeColor="text1"/>
          <w:sz w:val="20"/>
          <w:szCs w:val="20"/>
        </w:rPr>
        <w:t>finfish</w:t>
      </w:r>
      <w:r w:rsidR="0008105C">
        <w:rPr>
          <w:rFonts w:ascii="Arial" w:hAnsi="Arial" w:cs="Arial"/>
          <w:bCs/>
          <w:color w:val="000000" w:themeColor="text1"/>
          <w:sz w:val="20"/>
          <w:szCs w:val="20"/>
        </w:rPr>
        <w:t xml:space="preserve"> prices averaged more than $</w:t>
      </w:r>
      <w:r w:rsidR="003A315E">
        <w:rPr>
          <w:rFonts w:ascii="Arial" w:hAnsi="Arial" w:cs="Arial"/>
          <w:bCs/>
          <w:color w:val="000000" w:themeColor="text1"/>
          <w:sz w:val="20"/>
          <w:szCs w:val="20"/>
        </w:rPr>
        <w:t>10</w:t>
      </w:r>
      <w:r>
        <w:rPr>
          <w:rFonts w:ascii="Arial" w:hAnsi="Arial" w:cs="Arial"/>
          <w:bCs/>
          <w:color w:val="000000" w:themeColor="text1"/>
          <w:sz w:val="20"/>
          <w:szCs w:val="20"/>
        </w:rPr>
        <w:t xml:space="preserve"> </w:t>
      </w:r>
      <w:r w:rsidR="006E555C">
        <w:rPr>
          <w:rFonts w:ascii="Arial" w:hAnsi="Arial" w:cs="Arial"/>
          <w:bCs/>
          <w:color w:val="000000" w:themeColor="text1"/>
          <w:sz w:val="20"/>
          <w:szCs w:val="20"/>
        </w:rPr>
        <w:t>per</w:t>
      </w:r>
      <w:r>
        <w:rPr>
          <w:rFonts w:ascii="Arial" w:hAnsi="Arial" w:cs="Arial"/>
          <w:bCs/>
          <w:color w:val="000000" w:themeColor="text1"/>
          <w:sz w:val="20"/>
          <w:szCs w:val="20"/>
        </w:rPr>
        <w:t xml:space="preserve"> pound in</w:t>
      </w:r>
      <w:r w:rsidR="00160D81">
        <w:rPr>
          <w:rFonts w:ascii="Arial" w:hAnsi="Arial" w:cs="Arial"/>
          <w:bCs/>
          <w:color w:val="000000" w:themeColor="text1"/>
          <w:sz w:val="20"/>
          <w:szCs w:val="20"/>
        </w:rPr>
        <w:t xml:space="preserve"> February, about $1.60 more than the average price for fresh shellfish</w:t>
      </w:r>
      <w:r>
        <w:rPr>
          <w:rFonts w:ascii="Arial" w:hAnsi="Arial" w:cs="Arial"/>
          <w:bCs/>
          <w:color w:val="000000" w:themeColor="text1"/>
          <w:sz w:val="20"/>
          <w:szCs w:val="20"/>
        </w:rPr>
        <w:t xml:space="preserve">. </w:t>
      </w:r>
      <w:r w:rsidR="006A6067">
        <w:rPr>
          <w:rFonts w:ascii="Arial" w:hAnsi="Arial" w:cs="Arial"/>
          <w:bCs/>
          <w:color w:val="000000" w:themeColor="text1"/>
          <w:sz w:val="20"/>
          <w:szCs w:val="20"/>
        </w:rPr>
        <w:t xml:space="preserve">Total fresh seafood averaged $9.71, which was about $2 more than frozen seafood. Shelf-stable seafood (cans and pouches) had a much lower price per pound, at $5.51. </w:t>
      </w:r>
      <w:r w:rsidR="00F60945">
        <w:rPr>
          <w:rFonts w:ascii="Arial" w:hAnsi="Arial" w:cs="Arial"/>
          <w:bCs/>
          <w:color w:val="000000" w:themeColor="text1"/>
          <w:sz w:val="20"/>
          <w:szCs w:val="20"/>
        </w:rPr>
        <w:br/>
      </w: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49"/>
        <w:gridCol w:w="1565"/>
        <w:gridCol w:w="990"/>
        <w:gridCol w:w="1354"/>
        <w:gridCol w:w="1472"/>
        <w:gridCol w:w="1082"/>
        <w:gridCol w:w="1617"/>
      </w:tblGrid>
      <w:tr w:rsidR="00F37F90" w:rsidRPr="00A90189" w14:paraId="1F81DBBF" w14:textId="77777777" w:rsidTr="003D0A3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15FD10ED" w:rsidR="007B6412" w:rsidRDefault="007B6412"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500F918A" w:rsidR="00F37F90" w:rsidRDefault="006A6067"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February </w:t>
            </w:r>
            <w:r w:rsidR="00407D9A">
              <w:rPr>
                <w:rFonts w:ascii="Arial" w:hAnsi="Arial" w:cs="Arial"/>
                <w:color w:val="FFFFFF" w:themeColor="background1"/>
                <w:sz w:val="18"/>
                <w:szCs w:val="18"/>
              </w:rPr>
              <w:t>2026</w:t>
            </w:r>
          </w:p>
        </w:tc>
        <w:tc>
          <w:tcPr>
            <w:tcW w:w="1981" w:type="pct"/>
            <w:gridSpan w:val="3"/>
            <w:tcBorders>
              <w:top w:val="none" w:sz="0" w:space="0" w:color="auto"/>
              <w:left w:val="none" w:sz="0" w:space="0" w:color="auto"/>
              <w:bottom w:val="none" w:sz="0" w:space="0" w:color="auto"/>
              <w:right w:val="none" w:sz="0" w:space="0" w:color="auto"/>
            </w:tcBorders>
            <w:shd w:val="clear" w:color="auto" w:fill="17365D"/>
          </w:tcPr>
          <w:p w14:paraId="5E84962B" w14:textId="0036E690" w:rsidR="00F37F90" w:rsidRPr="00A90189" w:rsidRDefault="00407D9A"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Last 52 weeks</w:t>
            </w:r>
          </w:p>
        </w:tc>
      </w:tr>
      <w:tr w:rsidR="0073287A" w:rsidRPr="009C0178" w14:paraId="4D370E4E" w14:textId="77777777" w:rsidTr="00F6094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vs. </w:t>
            </w:r>
            <w:r w:rsidR="000C00A0"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c>
          <w:tcPr>
            <w:tcW w:w="699" w:type="pct"/>
            <w:shd w:val="clear" w:color="auto" w:fill="17365D" w:themeFill="text2" w:themeFillShade="BF"/>
          </w:tcPr>
          <w:p w14:paraId="3E21E46B" w14:textId="4374F2B0"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514" w:type="pct"/>
            <w:shd w:val="clear" w:color="auto" w:fill="17365D" w:themeFill="text2" w:themeFillShade="BF"/>
          </w:tcPr>
          <w:p w14:paraId="3544BA75" w14:textId="574FDBF9"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768" w:type="pct"/>
            <w:shd w:val="clear" w:color="auto" w:fill="17365D" w:themeFill="text2" w:themeFillShade="BF"/>
          </w:tcPr>
          <w:p w14:paraId="28B1EF53" w14:textId="472E675B"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w:t>
            </w:r>
            <w:r w:rsidR="00B813E6" w:rsidRPr="00F60945">
              <w:rPr>
                <w:rFonts w:ascii="Arial" w:hAnsi="Arial" w:cs="Arial"/>
                <w:b/>
                <w:bCs/>
                <w:color w:val="FFFFFF" w:themeColor="background1"/>
                <w:sz w:val="18"/>
                <w:szCs w:val="18"/>
              </w:rPr>
              <w:br/>
            </w:r>
            <w:r w:rsidRPr="00F60945">
              <w:rPr>
                <w:rFonts w:ascii="Arial" w:hAnsi="Arial" w:cs="Arial"/>
                <w:b/>
                <w:bCs/>
                <w:color w:val="FFFFFF" w:themeColor="background1"/>
                <w:sz w:val="18"/>
                <w:szCs w:val="18"/>
              </w:rPr>
              <w:t xml:space="preserve">vs. </w:t>
            </w:r>
            <w:r w:rsidR="005C5842"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r>
      <w:tr w:rsidR="0082179A" w:rsidRPr="009C0178" w14:paraId="2D585FCB"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82179A" w:rsidRPr="009C0178" w:rsidRDefault="0082179A" w:rsidP="0082179A">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vAlign w:val="bottom"/>
          </w:tcPr>
          <w:p w14:paraId="501AC3BC" w14:textId="2EA1D9F8" w:rsidR="0082179A" w:rsidRPr="00F60945" w:rsidRDefault="002329BC"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9.71</w:t>
            </w:r>
          </w:p>
        </w:tc>
        <w:tc>
          <w:tcPr>
            <w:tcW w:w="470" w:type="pct"/>
            <w:shd w:val="clear" w:color="auto" w:fill="FFFFFF" w:themeFill="background1"/>
            <w:tcMar>
              <w:left w:w="115" w:type="dxa"/>
              <w:right w:w="115" w:type="dxa"/>
            </w:tcMar>
            <w:vAlign w:val="bottom"/>
          </w:tcPr>
          <w:p w14:paraId="2DD3D4D2" w14:textId="3E2552A0" w:rsidR="0082179A" w:rsidRPr="00F60945" w:rsidRDefault="00160D81"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-0.1</w:t>
            </w:r>
            <w:r w:rsidR="0082179A" w:rsidRPr="00F60945">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0C400E79"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4.0</w:t>
            </w:r>
            <w:r w:rsidR="0082179A" w:rsidRPr="00F60945">
              <w:rPr>
                <w:rFonts w:ascii="Arial" w:hAnsi="Arial" w:cs="Arial"/>
                <w:b/>
                <w:bCs/>
                <w:color w:val="000000"/>
                <w:sz w:val="18"/>
                <w:szCs w:val="18"/>
              </w:rPr>
              <w:t>%</w:t>
            </w:r>
          </w:p>
        </w:tc>
        <w:tc>
          <w:tcPr>
            <w:tcW w:w="699" w:type="pct"/>
            <w:tcBorders>
              <w:left w:val="single" w:sz="4" w:space="0" w:color="31849B" w:themeColor="accent5" w:themeShade="BF"/>
            </w:tcBorders>
            <w:shd w:val="clear" w:color="auto" w:fill="FFFFFF" w:themeFill="background1"/>
            <w:vAlign w:val="bottom"/>
          </w:tcPr>
          <w:p w14:paraId="17051A7E" w14:textId="0AC3383A"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9.</w:t>
            </w:r>
            <w:r w:rsidR="00160D81">
              <w:rPr>
                <w:rFonts w:ascii="Arial" w:hAnsi="Arial" w:cs="Arial"/>
                <w:b/>
                <w:bCs/>
                <w:color w:val="000000"/>
                <w:sz w:val="18"/>
                <w:szCs w:val="18"/>
              </w:rPr>
              <w:t>82</w:t>
            </w:r>
          </w:p>
        </w:tc>
        <w:tc>
          <w:tcPr>
            <w:tcW w:w="514" w:type="pct"/>
            <w:shd w:val="clear" w:color="auto" w:fill="FFFFFF" w:themeFill="background1"/>
            <w:vAlign w:val="bottom"/>
          </w:tcPr>
          <w:p w14:paraId="39D61EC7" w14:textId="1596950E"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2.0</w:t>
            </w:r>
            <w:r w:rsidR="0082179A" w:rsidRPr="00F60945">
              <w:rPr>
                <w:rFonts w:ascii="Arial" w:hAnsi="Arial" w:cs="Arial"/>
                <w:b/>
                <w:bCs/>
                <w:color w:val="000000"/>
                <w:sz w:val="18"/>
                <w:szCs w:val="18"/>
              </w:rPr>
              <w:t>%</w:t>
            </w:r>
          </w:p>
        </w:tc>
        <w:tc>
          <w:tcPr>
            <w:tcW w:w="768" w:type="pct"/>
            <w:shd w:val="clear" w:color="auto" w:fill="FFFFFF" w:themeFill="background1"/>
            <w:vAlign w:val="bottom"/>
          </w:tcPr>
          <w:p w14:paraId="66678B50" w14:textId="1F022D96"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2.6</w:t>
            </w:r>
            <w:r w:rsidR="0082179A" w:rsidRPr="00F60945">
              <w:rPr>
                <w:rFonts w:ascii="Arial" w:hAnsi="Arial" w:cs="Arial"/>
                <w:b/>
                <w:bCs/>
                <w:color w:val="000000"/>
                <w:sz w:val="18"/>
                <w:szCs w:val="18"/>
              </w:rPr>
              <w:t>%</w:t>
            </w:r>
          </w:p>
        </w:tc>
      </w:tr>
      <w:tr w:rsidR="0082179A" w:rsidRPr="001C710E" w14:paraId="3DD603CC"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82179A" w:rsidRPr="009C0178" w:rsidRDefault="0082179A" w:rsidP="0082179A">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vAlign w:val="bottom"/>
          </w:tcPr>
          <w:p w14:paraId="1E4323D1" w14:textId="69BA1237" w:rsidR="0082179A" w:rsidRPr="00F60945" w:rsidRDefault="002329BC"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160D81">
              <w:rPr>
                <w:rFonts w:ascii="Arial" w:hAnsi="Arial" w:cs="Arial"/>
                <w:color w:val="000000"/>
                <w:sz w:val="18"/>
                <w:szCs w:val="18"/>
              </w:rPr>
              <w:t>10.61</w:t>
            </w:r>
          </w:p>
        </w:tc>
        <w:tc>
          <w:tcPr>
            <w:tcW w:w="470" w:type="pct"/>
            <w:shd w:val="clear" w:color="auto" w:fill="D9D9D9" w:themeFill="background1" w:themeFillShade="D9"/>
            <w:tcMar>
              <w:left w:w="115" w:type="dxa"/>
              <w:right w:w="115" w:type="dxa"/>
            </w:tcMar>
            <w:vAlign w:val="bottom"/>
          </w:tcPr>
          <w:p w14:paraId="10C1BBE1" w14:textId="06409715" w:rsidR="0082179A" w:rsidRPr="00F60945" w:rsidRDefault="002329BC"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160D81">
              <w:rPr>
                <w:rFonts w:ascii="Arial" w:hAnsi="Arial" w:cs="Arial"/>
                <w:color w:val="000000"/>
                <w:sz w:val="18"/>
                <w:szCs w:val="18"/>
              </w:rPr>
              <w:t>1.6</w:t>
            </w:r>
            <w:r w:rsidR="0082179A" w:rsidRPr="00F60945">
              <w:rPr>
                <w:rFonts w:ascii="Arial" w:hAnsi="Arial" w:cs="Arial"/>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7D289F27"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160D81">
              <w:rPr>
                <w:rFonts w:ascii="Arial" w:hAnsi="Arial" w:cs="Arial"/>
                <w:color w:val="000000"/>
                <w:sz w:val="18"/>
                <w:szCs w:val="18"/>
              </w:rPr>
              <w:t>3.5</w:t>
            </w:r>
            <w:r w:rsidR="0082179A" w:rsidRPr="00F60945">
              <w:rPr>
                <w:rFonts w:ascii="Arial" w:hAnsi="Arial" w:cs="Arial"/>
                <w:color w:val="000000"/>
                <w:sz w:val="18"/>
                <w:szCs w:val="18"/>
              </w:rPr>
              <w:t>%</w:t>
            </w:r>
          </w:p>
        </w:tc>
        <w:tc>
          <w:tcPr>
            <w:tcW w:w="699" w:type="pct"/>
            <w:tcBorders>
              <w:left w:val="single" w:sz="4" w:space="0" w:color="31849B" w:themeColor="accent5" w:themeShade="BF"/>
            </w:tcBorders>
            <w:shd w:val="clear" w:color="auto" w:fill="D9D9D9" w:themeFill="background1" w:themeFillShade="D9"/>
            <w:vAlign w:val="bottom"/>
          </w:tcPr>
          <w:p w14:paraId="15F59F83" w14:textId="6DA18C7D"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10.5</w:t>
            </w:r>
            <w:r w:rsidR="00160D81">
              <w:rPr>
                <w:rFonts w:ascii="Arial" w:hAnsi="Arial" w:cs="Arial"/>
                <w:color w:val="000000"/>
                <w:sz w:val="18"/>
                <w:szCs w:val="18"/>
              </w:rPr>
              <w:t>2</w:t>
            </w:r>
          </w:p>
        </w:tc>
        <w:tc>
          <w:tcPr>
            <w:tcW w:w="514" w:type="pct"/>
            <w:shd w:val="clear" w:color="auto" w:fill="D9D9D9" w:themeFill="background1" w:themeFillShade="D9"/>
            <w:vAlign w:val="bottom"/>
          </w:tcPr>
          <w:p w14:paraId="0AF53059" w14:textId="76C00221"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0.6</w:t>
            </w:r>
            <w:r w:rsidR="0082179A" w:rsidRPr="00F60945">
              <w:rPr>
                <w:rFonts w:ascii="Arial" w:hAnsi="Arial" w:cs="Arial"/>
                <w:color w:val="000000"/>
                <w:sz w:val="18"/>
                <w:szCs w:val="18"/>
              </w:rPr>
              <w:t>%</w:t>
            </w:r>
          </w:p>
        </w:tc>
        <w:tc>
          <w:tcPr>
            <w:tcW w:w="768" w:type="pct"/>
            <w:shd w:val="clear" w:color="auto" w:fill="D9D9D9" w:themeFill="background1" w:themeFillShade="D9"/>
            <w:vAlign w:val="bottom"/>
          </w:tcPr>
          <w:p w14:paraId="7B4C6BF1" w14:textId="4B38BAB6" w:rsidR="0082179A" w:rsidRPr="00F60945" w:rsidRDefault="00160D81"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+0.3</w:t>
            </w:r>
            <w:r w:rsidR="0082179A" w:rsidRPr="00F60945">
              <w:rPr>
                <w:rFonts w:ascii="Arial" w:hAnsi="Arial" w:cs="Arial"/>
                <w:color w:val="000000"/>
                <w:sz w:val="18"/>
                <w:szCs w:val="18"/>
              </w:rPr>
              <w:t>%</w:t>
            </w:r>
          </w:p>
        </w:tc>
      </w:tr>
      <w:tr w:rsidR="0082179A" w:rsidRPr="001C710E" w14:paraId="5A269FB9"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82179A" w:rsidRPr="009C0178" w:rsidRDefault="0082179A" w:rsidP="0082179A">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vAlign w:val="bottom"/>
          </w:tcPr>
          <w:p w14:paraId="354F3F01" w14:textId="74F77363" w:rsidR="0082179A" w:rsidRPr="00F60945" w:rsidRDefault="002329B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60D81">
              <w:rPr>
                <w:rFonts w:ascii="Arial" w:hAnsi="Arial" w:cs="Arial"/>
                <w:color w:val="000000"/>
                <w:sz w:val="18"/>
                <w:szCs w:val="18"/>
              </w:rPr>
              <w:t>8.78</w:t>
            </w:r>
          </w:p>
        </w:tc>
        <w:tc>
          <w:tcPr>
            <w:tcW w:w="470" w:type="pct"/>
            <w:tcMar>
              <w:left w:w="115" w:type="dxa"/>
              <w:right w:w="115" w:type="dxa"/>
            </w:tcMar>
            <w:vAlign w:val="bottom"/>
          </w:tcPr>
          <w:p w14:paraId="3C30D052" w14:textId="059CD9CE" w:rsidR="0082179A" w:rsidRPr="00F60945" w:rsidRDefault="00160D81"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-2.9</w:t>
            </w:r>
            <w:r w:rsidR="0082179A" w:rsidRPr="00F60945">
              <w:rPr>
                <w:rFonts w:ascii="Arial" w:hAnsi="Arial" w:cs="Arial"/>
                <w:color w:val="000000"/>
                <w:sz w:val="18"/>
                <w:szCs w:val="18"/>
              </w:rPr>
              <w:t>%</w:t>
            </w:r>
          </w:p>
        </w:tc>
        <w:tc>
          <w:tcPr>
            <w:tcW w:w="643" w:type="pct"/>
            <w:tcBorders>
              <w:right w:val="single" w:sz="4" w:space="0" w:color="31849B" w:themeColor="accent5" w:themeShade="BF"/>
            </w:tcBorders>
            <w:tcMar>
              <w:left w:w="115" w:type="dxa"/>
              <w:right w:w="115" w:type="dxa"/>
            </w:tcMar>
            <w:vAlign w:val="bottom"/>
          </w:tcPr>
          <w:p w14:paraId="37B4B427" w14:textId="2D107326"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160D81">
              <w:rPr>
                <w:rFonts w:ascii="Arial" w:hAnsi="Arial" w:cs="Arial"/>
                <w:color w:val="000000"/>
                <w:sz w:val="18"/>
                <w:szCs w:val="18"/>
              </w:rPr>
              <w:t>5.3</w:t>
            </w:r>
            <w:r w:rsidR="0082179A" w:rsidRPr="00F60945">
              <w:rPr>
                <w:rFonts w:ascii="Arial" w:hAnsi="Arial" w:cs="Arial"/>
                <w:color w:val="000000"/>
                <w:sz w:val="18"/>
                <w:szCs w:val="18"/>
              </w:rPr>
              <w:t>%</w:t>
            </w:r>
          </w:p>
        </w:tc>
        <w:tc>
          <w:tcPr>
            <w:tcW w:w="699" w:type="pct"/>
            <w:tcBorders>
              <w:left w:val="single" w:sz="4" w:space="0" w:color="31849B" w:themeColor="accent5" w:themeShade="BF"/>
            </w:tcBorders>
            <w:vAlign w:val="bottom"/>
          </w:tcPr>
          <w:p w14:paraId="2A701842" w14:textId="22D385D8"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9.1</w:t>
            </w:r>
            <w:r w:rsidR="00160D81">
              <w:rPr>
                <w:rFonts w:ascii="Arial" w:hAnsi="Arial" w:cs="Arial"/>
                <w:color w:val="000000"/>
                <w:sz w:val="18"/>
                <w:szCs w:val="18"/>
              </w:rPr>
              <w:t>7</w:t>
            </w:r>
          </w:p>
        </w:tc>
        <w:tc>
          <w:tcPr>
            <w:tcW w:w="514" w:type="pct"/>
            <w:vAlign w:val="bottom"/>
          </w:tcPr>
          <w:p w14:paraId="295F5885" w14:textId="69BEF40A"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60D81">
              <w:rPr>
                <w:rFonts w:ascii="Arial" w:hAnsi="Arial" w:cs="Arial"/>
                <w:color w:val="000000"/>
                <w:sz w:val="18"/>
                <w:szCs w:val="18"/>
              </w:rPr>
              <w:t>4</w:t>
            </w:r>
            <w:r w:rsidR="003A315E">
              <w:rPr>
                <w:rFonts w:ascii="Arial" w:hAnsi="Arial" w:cs="Arial"/>
                <w:color w:val="000000"/>
                <w:sz w:val="18"/>
                <w:szCs w:val="18"/>
              </w:rPr>
              <w:t>.5</w:t>
            </w:r>
            <w:r w:rsidR="0082179A" w:rsidRPr="00F60945">
              <w:rPr>
                <w:rFonts w:ascii="Arial" w:hAnsi="Arial" w:cs="Arial"/>
                <w:color w:val="000000"/>
                <w:sz w:val="18"/>
                <w:szCs w:val="18"/>
              </w:rPr>
              <w:t>%</w:t>
            </w:r>
          </w:p>
        </w:tc>
        <w:tc>
          <w:tcPr>
            <w:tcW w:w="768" w:type="pct"/>
            <w:vAlign w:val="bottom"/>
          </w:tcPr>
          <w:p w14:paraId="49D3B72A" w14:textId="4875D9E1"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60D81">
              <w:rPr>
                <w:rFonts w:ascii="Arial" w:hAnsi="Arial" w:cs="Arial"/>
                <w:color w:val="000000"/>
                <w:sz w:val="18"/>
                <w:szCs w:val="18"/>
              </w:rPr>
              <w:t>6.7</w:t>
            </w:r>
            <w:r w:rsidR="0082179A" w:rsidRPr="00F60945">
              <w:rPr>
                <w:rFonts w:ascii="Arial" w:hAnsi="Arial" w:cs="Arial"/>
                <w:color w:val="000000"/>
                <w:sz w:val="18"/>
                <w:szCs w:val="18"/>
              </w:rPr>
              <w:t>%</w:t>
            </w:r>
          </w:p>
        </w:tc>
      </w:tr>
      <w:tr w:rsidR="0082179A" w:rsidRPr="009C0178" w14:paraId="6D4B0F28"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82179A" w:rsidRPr="00D5653C" w:rsidRDefault="0082179A" w:rsidP="0082179A">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vAlign w:val="bottom"/>
          </w:tcPr>
          <w:p w14:paraId="6AA1A40C" w14:textId="74AA4D4F" w:rsidR="0082179A" w:rsidRPr="00F60945" w:rsidRDefault="002329B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7.79</w:t>
            </w:r>
          </w:p>
        </w:tc>
        <w:tc>
          <w:tcPr>
            <w:tcW w:w="470" w:type="pct"/>
            <w:shd w:val="clear" w:color="auto" w:fill="D9D9D9" w:themeFill="background1" w:themeFillShade="D9"/>
            <w:tcMar>
              <w:left w:w="115" w:type="dxa"/>
              <w:right w:w="115" w:type="dxa"/>
            </w:tcMar>
            <w:vAlign w:val="bottom"/>
          </w:tcPr>
          <w:p w14:paraId="561F5313" w14:textId="1C4BC9BA"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7.1</w:t>
            </w:r>
            <w:r w:rsidR="0082179A" w:rsidRPr="00F60945">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0E00B87C"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10.5</w:t>
            </w:r>
            <w:r w:rsidR="0082179A" w:rsidRPr="00F60945">
              <w:rPr>
                <w:rFonts w:ascii="Arial" w:hAnsi="Arial" w:cs="Arial"/>
                <w:b/>
                <w:bCs/>
                <w:color w:val="000000"/>
                <w:sz w:val="18"/>
                <w:szCs w:val="18"/>
              </w:rPr>
              <w:t>%</w:t>
            </w:r>
          </w:p>
        </w:tc>
        <w:tc>
          <w:tcPr>
            <w:tcW w:w="699" w:type="pct"/>
            <w:tcBorders>
              <w:left w:val="single" w:sz="4" w:space="0" w:color="31849B" w:themeColor="accent5" w:themeShade="BF"/>
            </w:tcBorders>
            <w:shd w:val="clear" w:color="auto" w:fill="D9D9D9" w:themeFill="background1" w:themeFillShade="D9"/>
            <w:vAlign w:val="bottom"/>
          </w:tcPr>
          <w:p w14:paraId="70AF399D" w14:textId="308F761B"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7.5</w:t>
            </w:r>
            <w:r w:rsidR="00160D81">
              <w:rPr>
                <w:rFonts w:ascii="Arial" w:hAnsi="Arial" w:cs="Arial"/>
                <w:b/>
                <w:bCs/>
                <w:color w:val="000000"/>
                <w:sz w:val="18"/>
                <w:szCs w:val="18"/>
              </w:rPr>
              <w:t>9</w:t>
            </w:r>
          </w:p>
        </w:tc>
        <w:tc>
          <w:tcPr>
            <w:tcW w:w="514" w:type="pct"/>
            <w:shd w:val="clear" w:color="auto" w:fill="D9D9D9" w:themeFill="background1" w:themeFillShade="D9"/>
            <w:vAlign w:val="bottom"/>
          </w:tcPr>
          <w:p w14:paraId="0D4239EB" w14:textId="0AA2BCE8"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4.3</w:t>
            </w:r>
            <w:r w:rsidR="0082179A" w:rsidRPr="00F60945">
              <w:rPr>
                <w:rFonts w:ascii="Arial" w:hAnsi="Arial" w:cs="Arial"/>
                <w:b/>
                <w:bCs/>
                <w:color w:val="000000"/>
                <w:sz w:val="18"/>
                <w:szCs w:val="18"/>
              </w:rPr>
              <w:t>%</w:t>
            </w:r>
          </w:p>
        </w:tc>
        <w:tc>
          <w:tcPr>
            <w:tcW w:w="768" w:type="pct"/>
            <w:shd w:val="clear" w:color="auto" w:fill="D9D9D9" w:themeFill="background1" w:themeFillShade="D9"/>
            <w:vAlign w:val="bottom"/>
          </w:tcPr>
          <w:p w14:paraId="40B4A5D7" w14:textId="6CCB279F" w:rsidR="0082179A" w:rsidRPr="00F60945" w:rsidRDefault="003A315E"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2.0</w:t>
            </w:r>
            <w:r w:rsidR="0082179A" w:rsidRPr="00F60945">
              <w:rPr>
                <w:rFonts w:ascii="Arial" w:hAnsi="Arial" w:cs="Arial"/>
                <w:b/>
                <w:bCs/>
                <w:color w:val="000000"/>
                <w:sz w:val="18"/>
                <w:szCs w:val="18"/>
              </w:rPr>
              <w:t>%</w:t>
            </w:r>
          </w:p>
        </w:tc>
      </w:tr>
      <w:tr w:rsidR="0082179A" w:rsidRPr="009C0178" w14:paraId="0A8B314F"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82179A" w:rsidRPr="000A3117" w:rsidRDefault="0082179A" w:rsidP="0082179A">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vAlign w:val="bottom"/>
          </w:tcPr>
          <w:p w14:paraId="4F268D8A" w14:textId="5A3DBB04" w:rsidR="0082179A" w:rsidRPr="00F60945" w:rsidRDefault="002329B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5.51</w:t>
            </w:r>
          </w:p>
        </w:tc>
        <w:tc>
          <w:tcPr>
            <w:tcW w:w="470" w:type="pct"/>
            <w:shd w:val="clear" w:color="auto" w:fill="FFFFFF" w:themeFill="background1"/>
            <w:tcMar>
              <w:left w:w="115" w:type="dxa"/>
              <w:right w:w="115" w:type="dxa"/>
            </w:tcMar>
            <w:vAlign w:val="bottom"/>
          </w:tcPr>
          <w:p w14:paraId="1510CC5D" w14:textId="7C410D6E"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7.9</w:t>
            </w:r>
            <w:r w:rsidR="0082179A" w:rsidRPr="00F60945">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537398DC"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7.4</w:t>
            </w:r>
            <w:r w:rsidR="0082179A" w:rsidRPr="00F60945">
              <w:rPr>
                <w:rFonts w:ascii="Arial" w:hAnsi="Arial" w:cs="Arial"/>
                <w:b/>
                <w:bCs/>
                <w:color w:val="000000"/>
                <w:sz w:val="18"/>
                <w:szCs w:val="18"/>
              </w:rPr>
              <w:t>%</w:t>
            </w:r>
          </w:p>
        </w:tc>
        <w:tc>
          <w:tcPr>
            <w:tcW w:w="699" w:type="pct"/>
            <w:tcBorders>
              <w:left w:val="single" w:sz="4" w:space="0" w:color="31849B" w:themeColor="accent5" w:themeShade="BF"/>
            </w:tcBorders>
            <w:shd w:val="clear" w:color="auto" w:fill="FFFFFF" w:themeFill="background1"/>
            <w:vAlign w:val="bottom"/>
          </w:tcPr>
          <w:p w14:paraId="0F09C4C3" w14:textId="6CC5FF8D"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5.31</w:t>
            </w:r>
          </w:p>
        </w:tc>
        <w:tc>
          <w:tcPr>
            <w:tcW w:w="514" w:type="pct"/>
            <w:shd w:val="clear" w:color="auto" w:fill="FFFFFF" w:themeFill="background1"/>
            <w:vAlign w:val="bottom"/>
          </w:tcPr>
          <w:p w14:paraId="04CE274A" w14:textId="5504E62E"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60D81">
              <w:rPr>
                <w:rFonts w:ascii="Arial" w:hAnsi="Arial" w:cs="Arial"/>
                <w:b/>
                <w:bCs/>
                <w:color w:val="000000"/>
                <w:sz w:val="18"/>
                <w:szCs w:val="18"/>
              </w:rPr>
              <w:t>3.0</w:t>
            </w:r>
            <w:r w:rsidR="0082179A" w:rsidRPr="00F60945">
              <w:rPr>
                <w:rFonts w:ascii="Arial" w:hAnsi="Arial" w:cs="Arial"/>
                <w:b/>
                <w:bCs/>
                <w:color w:val="000000"/>
                <w:sz w:val="18"/>
                <w:szCs w:val="18"/>
              </w:rPr>
              <w:t>%</w:t>
            </w:r>
          </w:p>
        </w:tc>
        <w:tc>
          <w:tcPr>
            <w:tcW w:w="768" w:type="pct"/>
            <w:shd w:val="clear" w:color="auto" w:fill="FFFFFF" w:themeFill="background1"/>
            <w:vAlign w:val="bottom"/>
          </w:tcPr>
          <w:p w14:paraId="73C5E911" w14:textId="014C4F5B"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0.3</w:t>
            </w:r>
            <w:r w:rsidR="0082179A" w:rsidRPr="00F60945">
              <w:rPr>
                <w:rFonts w:ascii="Arial" w:hAnsi="Arial" w:cs="Arial"/>
                <w:b/>
                <w:bCs/>
                <w:color w:val="000000"/>
                <w:sz w:val="18"/>
                <w:szCs w:val="18"/>
              </w:rPr>
              <w:t>%</w:t>
            </w:r>
          </w:p>
        </w:tc>
      </w:tr>
    </w:tbl>
    <w:p w14:paraId="44C0F1C8" w14:textId="770A8E11" w:rsidR="00FC4C8F" w:rsidRDefault="00544D35" w:rsidP="00A357C9">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r w:rsidR="007A44BE" w:rsidRPr="002327AA">
        <w:rPr>
          <w:rFonts w:ascii="Arial" w:hAnsi="Arial" w:cs="Arial"/>
          <w:color w:val="7F7F7F" w:themeColor="text1" w:themeTint="80"/>
          <w:sz w:val="16"/>
          <w:szCs w:val="16"/>
        </w:rPr>
        <w:t>Circana</w:t>
      </w:r>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59F9EE1B" w14:textId="77777777" w:rsidR="00A357C9" w:rsidRPr="00A357C9" w:rsidRDefault="00A357C9" w:rsidP="00A357C9">
      <w:pPr>
        <w:pStyle w:val="NoSpacing"/>
        <w:rPr>
          <w:rFonts w:ascii="Arial" w:hAnsi="Arial" w:cs="Arial"/>
          <w:color w:val="7F7F7F" w:themeColor="text1" w:themeTint="80"/>
          <w:sz w:val="16"/>
          <w:szCs w:val="16"/>
        </w:rPr>
      </w:pP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B66A2B">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tcBorders>
              <w:top w:val="none" w:sz="0" w:space="0" w:color="auto"/>
              <w:bottom w:val="none" w:sz="0" w:space="0" w:color="auto"/>
            </w:tcBorders>
            <w:shd w:val="clear" w:color="auto" w:fill="17365D" w:themeFill="text2" w:themeFillShade="BF"/>
          </w:tcPr>
          <w:p w14:paraId="2E58E219" w14:textId="77777777" w:rsidR="001255CA" w:rsidRDefault="001255CA" w:rsidP="009F1921">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3F88FF2E" w:rsidR="001255CA" w:rsidRPr="00DA3DDE" w:rsidRDefault="006A6067" w:rsidP="009F1921">
            <w:pPr>
              <w:pStyle w:val="NoSpacing"/>
              <w:rPr>
                <w:rFonts w:ascii="Arial" w:hAnsi="Arial" w:cs="Arial"/>
                <w:color w:val="FFFFFF" w:themeColor="background1"/>
                <w:sz w:val="18"/>
                <w:szCs w:val="18"/>
              </w:rPr>
            </w:pPr>
            <w:r>
              <w:rPr>
                <w:rFonts w:ascii="Arial" w:hAnsi="Arial" w:cs="Arial"/>
                <w:color w:val="FFFFFF" w:themeColor="background1"/>
                <w:sz w:val="18"/>
                <w:szCs w:val="18"/>
              </w:rPr>
              <w:t>February 2026</w:t>
            </w:r>
          </w:p>
        </w:tc>
        <w:tc>
          <w:tcPr>
            <w:tcW w:w="1177" w:type="pct"/>
            <w:tcBorders>
              <w:top w:val="none" w:sz="0" w:space="0" w:color="auto"/>
              <w:bottom w:val="none" w:sz="0" w:space="0" w:color="auto"/>
            </w:tcBorders>
            <w:shd w:val="clear" w:color="auto" w:fill="17365D" w:themeFill="text2" w:themeFillShade="BF"/>
            <w:tcMar>
              <w:left w:w="115" w:type="dxa"/>
              <w:right w:w="115" w:type="dxa"/>
            </w:tcMar>
          </w:tcPr>
          <w:p w14:paraId="031DEAF1"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tcBorders>
              <w:top w:val="none" w:sz="0" w:space="0" w:color="auto"/>
              <w:bottom w:val="none" w:sz="0" w:space="0" w:color="auto"/>
            </w:tcBorders>
            <w:shd w:val="clear" w:color="auto" w:fill="17365D" w:themeFill="text2" w:themeFillShade="BF"/>
            <w:tcMar>
              <w:left w:w="115" w:type="dxa"/>
              <w:right w:w="115" w:type="dxa"/>
            </w:tcMar>
          </w:tcPr>
          <w:p w14:paraId="2DCAD80C"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tcBorders>
              <w:top w:val="none" w:sz="0" w:space="0" w:color="auto"/>
              <w:bottom w:val="none" w:sz="0" w:space="0" w:color="auto"/>
            </w:tcBorders>
            <w:shd w:val="clear" w:color="auto" w:fill="17365D" w:themeFill="text2" w:themeFillShade="BF"/>
            <w:tcMar>
              <w:left w:w="115" w:type="dxa"/>
              <w:right w:w="115" w:type="dxa"/>
            </w:tcMar>
          </w:tcPr>
          <w:p w14:paraId="59CF1C8D"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F82D45" w:rsidRPr="001A7423" w14:paraId="5387C483"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19D5CBC3"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4006010A"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4636AA">
              <w:rPr>
                <w:rFonts w:ascii="Arial" w:hAnsi="Arial" w:cs="Arial"/>
                <w:color w:val="000000"/>
                <w:sz w:val="18"/>
                <w:szCs w:val="18"/>
              </w:rPr>
              <w:t>11.</w:t>
            </w:r>
            <w:r w:rsidR="00C43DD9">
              <w:rPr>
                <w:rFonts w:ascii="Arial" w:hAnsi="Arial" w:cs="Arial"/>
                <w:color w:val="000000"/>
                <w:sz w:val="18"/>
                <w:szCs w:val="18"/>
              </w:rPr>
              <w:t>62</w:t>
            </w:r>
          </w:p>
        </w:tc>
        <w:tc>
          <w:tcPr>
            <w:tcW w:w="814" w:type="pct"/>
            <w:shd w:val="clear" w:color="auto" w:fill="FFFFFF" w:themeFill="background1"/>
            <w:tcMar>
              <w:left w:w="115" w:type="dxa"/>
              <w:right w:w="115" w:type="dxa"/>
            </w:tcMar>
          </w:tcPr>
          <w:p w14:paraId="5229E735" w14:textId="6FCDF1F4"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0.6</w:t>
            </w:r>
            <w:r w:rsidRPr="008F78CA">
              <w:rPr>
                <w:rFonts w:ascii="Arial" w:hAnsi="Arial" w:cs="Arial"/>
                <w:color w:val="000000"/>
                <w:sz w:val="18"/>
                <w:szCs w:val="18"/>
              </w:rPr>
              <w:t>%</w:t>
            </w:r>
          </w:p>
        </w:tc>
        <w:tc>
          <w:tcPr>
            <w:tcW w:w="880" w:type="pct"/>
            <w:shd w:val="clear" w:color="auto" w:fill="FFFFFF" w:themeFill="background1"/>
            <w:tcMar>
              <w:left w:w="115" w:type="dxa"/>
              <w:right w:w="115" w:type="dxa"/>
            </w:tcMar>
          </w:tcPr>
          <w:p w14:paraId="2C97B858" w14:textId="5B5E883E"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3.8</w:t>
            </w:r>
            <w:r w:rsidRPr="008F78CA">
              <w:rPr>
                <w:rFonts w:ascii="Arial" w:hAnsi="Arial" w:cs="Arial"/>
                <w:color w:val="000000"/>
                <w:sz w:val="18"/>
                <w:szCs w:val="18"/>
              </w:rPr>
              <w:t>%</w:t>
            </w:r>
          </w:p>
        </w:tc>
      </w:tr>
      <w:tr w:rsidR="00F82D45" w:rsidRPr="001A7423" w14:paraId="717DD538" w14:textId="77777777" w:rsidTr="00F82D4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447E0464"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shrimp</w:t>
            </w:r>
          </w:p>
        </w:tc>
        <w:tc>
          <w:tcPr>
            <w:tcW w:w="1177" w:type="pct"/>
            <w:shd w:val="clear" w:color="auto" w:fill="D9D9D9" w:themeFill="background1" w:themeFillShade="D9"/>
            <w:tcMar>
              <w:left w:w="115" w:type="dxa"/>
              <w:right w:w="115" w:type="dxa"/>
            </w:tcMar>
          </w:tcPr>
          <w:p w14:paraId="541FF027" w14:textId="2645919F"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C43DD9">
              <w:rPr>
                <w:rFonts w:ascii="Arial" w:hAnsi="Arial" w:cs="Arial"/>
                <w:color w:val="000000"/>
                <w:sz w:val="18"/>
                <w:szCs w:val="18"/>
              </w:rPr>
              <w:t>8.42</w:t>
            </w:r>
          </w:p>
        </w:tc>
        <w:tc>
          <w:tcPr>
            <w:tcW w:w="814" w:type="pct"/>
            <w:shd w:val="clear" w:color="auto" w:fill="D9D9D9" w:themeFill="background1" w:themeFillShade="D9"/>
            <w:tcMar>
              <w:left w:w="115" w:type="dxa"/>
              <w:right w:w="115" w:type="dxa"/>
            </w:tcMar>
          </w:tcPr>
          <w:p w14:paraId="684CDD5C" w14:textId="12D64783" w:rsidR="00F82D45" w:rsidRPr="006A6F7C" w:rsidRDefault="00C43DD9"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-0.9</w:t>
            </w:r>
            <w:r w:rsidR="00F82D45" w:rsidRPr="008F78CA">
              <w:rPr>
                <w:rFonts w:ascii="Arial" w:hAnsi="Arial" w:cs="Arial"/>
                <w:color w:val="000000"/>
                <w:sz w:val="18"/>
                <w:szCs w:val="18"/>
              </w:rPr>
              <w:t>%</w:t>
            </w:r>
          </w:p>
        </w:tc>
        <w:tc>
          <w:tcPr>
            <w:tcW w:w="880" w:type="pct"/>
            <w:shd w:val="clear" w:color="auto" w:fill="D9D9D9" w:themeFill="background1" w:themeFillShade="D9"/>
            <w:tcMar>
              <w:left w:w="115" w:type="dxa"/>
              <w:right w:w="115" w:type="dxa"/>
            </w:tcMar>
          </w:tcPr>
          <w:p w14:paraId="67D5006A" w14:textId="4FAC538F" w:rsidR="00F82D45" w:rsidRPr="006A6F7C" w:rsidRDefault="00C43DD9"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-1.7</w:t>
            </w:r>
            <w:r w:rsidR="00F82D45" w:rsidRPr="008F78CA">
              <w:rPr>
                <w:rFonts w:ascii="Arial" w:hAnsi="Arial" w:cs="Arial"/>
                <w:color w:val="000000"/>
                <w:sz w:val="18"/>
                <w:szCs w:val="18"/>
              </w:rPr>
              <w:t>%</w:t>
            </w:r>
          </w:p>
        </w:tc>
      </w:tr>
      <w:tr w:rsidR="00F82D45" w:rsidRPr="001A7423" w14:paraId="4DCA14D1"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1CDE292A"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crab</w:t>
            </w:r>
          </w:p>
        </w:tc>
        <w:tc>
          <w:tcPr>
            <w:tcW w:w="1177" w:type="pct"/>
            <w:shd w:val="clear" w:color="auto" w:fill="auto"/>
            <w:tcMar>
              <w:left w:w="115" w:type="dxa"/>
              <w:right w:w="115" w:type="dxa"/>
            </w:tcMar>
          </w:tcPr>
          <w:p w14:paraId="0C53779B" w14:textId="34C6AA0C"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C43DD9">
              <w:rPr>
                <w:rFonts w:ascii="Arial" w:hAnsi="Arial" w:cs="Arial"/>
                <w:color w:val="000000"/>
                <w:sz w:val="18"/>
                <w:szCs w:val="18"/>
              </w:rPr>
              <w:t>11.87</w:t>
            </w:r>
          </w:p>
        </w:tc>
        <w:tc>
          <w:tcPr>
            <w:tcW w:w="814" w:type="pct"/>
            <w:shd w:val="clear" w:color="auto" w:fill="auto"/>
            <w:tcMar>
              <w:left w:w="115" w:type="dxa"/>
              <w:right w:w="115" w:type="dxa"/>
            </w:tcMar>
          </w:tcPr>
          <w:p w14:paraId="79203465" w14:textId="278B48DA"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6.9</w:t>
            </w:r>
            <w:r w:rsidRPr="008F78CA">
              <w:rPr>
                <w:rFonts w:ascii="Arial" w:hAnsi="Arial" w:cs="Arial"/>
                <w:color w:val="000000"/>
                <w:sz w:val="18"/>
                <w:szCs w:val="18"/>
              </w:rPr>
              <w:t>%</w:t>
            </w:r>
          </w:p>
        </w:tc>
        <w:tc>
          <w:tcPr>
            <w:tcW w:w="880" w:type="pct"/>
            <w:shd w:val="clear" w:color="auto" w:fill="auto"/>
            <w:tcMar>
              <w:left w:w="115" w:type="dxa"/>
              <w:right w:w="115" w:type="dxa"/>
            </w:tcMar>
          </w:tcPr>
          <w:p w14:paraId="638704A5" w14:textId="3A21A630"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27.7</w:t>
            </w:r>
            <w:r w:rsidRPr="008F78CA">
              <w:rPr>
                <w:rFonts w:ascii="Arial" w:hAnsi="Arial" w:cs="Arial"/>
                <w:color w:val="000000"/>
                <w:sz w:val="18"/>
                <w:szCs w:val="18"/>
              </w:rPr>
              <w:t>%</w:t>
            </w:r>
          </w:p>
        </w:tc>
      </w:tr>
      <w:tr w:rsidR="00F82D45" w:rsidRPr="001A7423" w14:paraId="068D82E3" w14:textId="77777777" w:rsidTr="00F82D4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63D961EA"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1FE50B6C"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C43DD9">
              <w:rPr>
                <w:rFonts w:ascii="Arial" w:hAnsi="Arial" w:cs="Arial"/>
                <w:color w:val="000000"/>
                <w:sz w:val="18"/>
                <w:szCs w:val="18"/>
              </w:rPr>
              <w:t>10.96</w:t>
            </w:r>
          </w:p>
        </w:tc>
        <w:tc>
          <w:tcPr>
            <w:tcW w:w="814" w:type="pct"/>
            <w:shd w:val="clear" w:color="auto" w:fill="D9D9D9" w:themeFill="background1" w:themeFillShade="D9"/>
            <w:tcMar>
              <w:left w:w="115" w:type="dxa"/>
              <w:right w:w="115" w:type="dxa"/>
            </w:tcMar>
          </w:tcPr>
          <w:p w14:paraId="38EA25CA" w14:textId="0DD61603"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11.2</w:t>
            </w:r>
            <w:r w:rsidRPr="008F78CA">
              <w:rPr>
                <w:rFonts w:ascii="Arial" w:hAnsi="Arial" w:cs="Arial"/>
                <w:color w:val="000000"/>
                <w:sz w:val="18"/>
                <w:szCs w:val="18"/>
              </w:rPr>
              <w:t>%</w:t>
            </w:r>
          </w:p>
        </w:tc>
        <w:tc>
          <w:tcPr>
            <w:tcW w:w="880" w:type="pct"/>
            <w:shd w:val="clear" w:color="auto" w:fill="D9D9D9" w:themeFill="background1" w:themeFillShade="D9"/>
            <w:tcMar>
              <w:left w:w="115" w:type="dxa"/>
              <w:right w:w="115" w:type="dxa"/>
            </w:tcMar>
          </w:tcPr>
          <w:p w14:paraId="09B88330" w14:textId="14D05ECF"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16.5</w:t>
            </w:r>
            <w:r w:rsidRPr="008F78CA">
              <w:rPr>
                <w:rFonts w:ascii="Arial" w:hAnsi="Arial" w:cs="Arial"/>
                <w:color w:val="000000"/>
                <w:sz w:val="18"/>
                <w:szCs w:val="18"/>
              </w:rPr>
              <w:t>%</w:t>
            </w:r>
          </w:p>
        </w:tc>
      </w:tr>
      <w:tr w:rsidR="00F82D45" w:rsidRPr="001A7423" w14:paraId="2216A6B8"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030B466C"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5CFBC84A"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C43DD9">
              <w:rPr>
                <w:rFonts w:ascii="Arial" w:hAnsi="Arial" w:cs="Arial"/>
                <w:color w:val="000000"/>
                <w:sz w:val="18"/>
                <w:szCs w:val="18"/>
              </w:rPr>
              <w:t>6.23</w:t>
            </w:r>
          </w:p>
        </w:tc>
        <w:tc>
          <w:tcPr>
            <w:tcW w:w="814" w:type="pct"/>
            <w:shd w:val="clear" w:color="auto" w:fill="FFFFFF" w:themeFill="background1"/>
            <w:tcMar>
              <w:left w:w="115" w:type="dxa"/>
              <w:right w:w="115" w:type="dxa"/>
            </w:tcMar>
            <w:vAlign w:val="bottom"/>
          </w:tcPr>
          <w:p w14:paraId="4C569A2D" w14:textId="7B4C278E" w:rsidR="00F82D45" w:rsidRPr="006A6F7C" w:rsidRDefault="004636AA"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C43DD9">
              <w:rPr>
                <w:rFonts w:ascii="Arial" w:hAnsi="Arial" w:cs="Arial"/>
                <w:color w:val="000000"/>
                <w:sz w:val="18"/>
                <w:szCs w:val="18"/>
              </w:rPr>
              <w:t>3.4</w:t>
            </w:r>
            <w:r w:rsidR="00F82D45" w:rsidRPr="006A6F7C">
              <w:rPr>
                <w:rFonts w:ascii="Arial" w:hAnsi="Arial" w:cs="Arial"/>
                <w:color w:val="000000"/>
                <w:sz w:val="18"/>
                <w:szCs w:val="18"/>
              </w:rPr>
              <w:t>%</w:t>
            </w:r>
          </w:p>
        </w:tc>
        <w:tc>
          <w:tcPr>
            <w:tcW w:w="880" w:type="pct"/>
            <w:shd w:val="clear" w:color="auto" w:fill="FFFFFF" w:themeFill="background1"/>
            <w:tcMar>
              <w:left w:w="115" w:type="dxa"/>
              <w:right w:w="115" w:type="dxa"/>
            </w:tcMar>
            <w:vAlign w:val="bottom"/>
          </w:tcPr>
          <w:p w14:paraId="31659BCC" w14:textId="69C9FE4F"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C43DD9">
              <w:rPr>
                <w:rFonts w:ascii="Arial" w:hAnsi="Arial" w:cs="Arial"/>
                <w:color w:val="000000"/>
                <w:sz w:val="18"/>
                <w:szCs w:val="18"/>
              </w:rPr>
              <w:t>0.3</w:t>
            </w:r>
            <w:r w:rsidRPr="006A6F7C">
              <w:rPr>
                <w:rFonts w:ascii="Arial" w:hAnsi="Arial" w:cs="Arial"/>
                <w:color w:val="000000"/>
                <w:sz w:val="18"/>
                <w:szCs w:val="18"/>
              </w:rPr>
              <w:t>%</w:t>
            </w:r>
          </w:p>
        </w:tc>
      </w:tr>
    </w:tbl>
    <w:p w14:paraId="4890B49F" w14:textId="41473459" w:rsidR="005F0766" w:rsidRDefault="001739AB" w:rsidP="00C94CA8">
      <w:pPr>
        <w:pStyle w:val="NoSpacing"/>
        <w:rPr>
          <w:rFonts w:ascii="Arial" w:hAnsi="Arial" w:cs="Arial"/>
          <w:sz w:val="20"/>
          <w:szCs w:val="20"/>
        </w:rPr>
      </w:pPr>
      <w:bookmarkStart w:id="5" w:name="_Hlk116283646"/>
      <w:r>
        <w:rPr>
          <w:rFonts w:ascii="Arial" w:hAnsi="Arial" w:cs="Arial"/>
          <w:sz w:val="20"/>
          <w:szCs w:val="20"/>
        </w:rPr>
        <w:t xml:space="preserve">Fresh salmon prices were relatively stable year-over-year, whereas cod prices rose by more than 11%. Fresh shrimp prices came down slightly and are now cheaper on a per pound basis than frozen shrimp. Tilapia continued to have the lowest price per pound of the top five species, at $6.23. </w:t>
      </w:r>
      <w:r w:rsidR="004636AA">
        <w:rPr>
          <w:rFonts w:ascii="Arial" w:hAnsi="Arial" w:cs="Arial"/>
          <w:sz w:val="20"/>
          <w:szCs w:val="20"/>
        </w:rPr>
        <w:t xml:space="preserve"> </w:t>
      </w:r>
    </w:p>
    <w:p w14:paraId="04F0A3C0" w14:textId="77777777" w:rsidR="005F0766" w:rsidRDefault="005F0766" w:rsidP="00C94CA8">
      <w:pPr>
        <w:pStyle w:val="NoSpacing"/>
        <w:rPr>
          <w:rFonts w:ascii="Arial" w:hAnsi="Arial" w:cs="Arial"/>
          <w:sz w:val="20"/>
          <w:szCs w:val="20"/>
        </w:rPr>
      </w:pP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1739AB" w:rsidRPr="00DA3DDE" w14:paraId="44801AC1" w14:textId="77777777" w:rsidTr="009B4542">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17365D" w:themeFill="text2" w:themeFillShade="BF"/>
          </w:tcPr>
          <w:p w14:paraId="1C1B9CFC" w14:textId="77777777" w:rsidR="001739AB" w:rsidRPr="00D5653C" w:rsidRDefault="001739AB" w:rsidP="009B4542">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t xml:space="preserve"> February 2026</w:t>
            </w:r>
          </w:p>
        </w:tc>
        <w:tc>
          <w:tcPr>
            <w:tcW w:w="1175" w:type="pct"/>
            <w:shd w:val="clear" w:color="auto" w:fill="17365D" w:themeFill="text2" w:themeFillShade="BF"/>
            <w:tcMar>
              <w:left w:w="115" w:type="dxa"/>
              <w:right w:w="115" w:type="dxa"/>
            </w:tcMar>
          </w:tcPr>
          <w:p w14:paraId="6A622EDC" w14:textId="77777777" w:rsidR="001739AB" w:rsidRPr="00DA3DDE" w:rsidRDefault="001739AB" w:rsidP="009B45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shd w:val="clear" w:color="auto" w:fill="17365D" w:themeFill="text2" w:themeFillShade="BF"/>
            <w:tcMar>
              <w:left w:w="115" w:type="dxa"/>
              <w:right w:w="115" w:type="dxa"/>
            </w:tcMar>
          </w:tcPr>
          <w:p w14:paraId="53AC9A6B" w14:textId="77777777" w:rsidR="001739AB" w:rsidRPr="00DA3DDE" w:rsidRDefault="001739AB" w:rsidP="009B45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shd w:val="clear" w:color="auto" w:fill="17365D" w:themeFill="text2" w:themeFillShade="BF"/>
            <w:tcMar>
              <w:left w:w="115" w:type="dxa"/>
              <w:right w:w="115" w:type="dxa"/>
            </w:tcMar>
          </w:tcPr>
          <w:p w14:paraId="1FACD550" w14:textId="77777777" w:rsidR="001739AB" w:rsidRPr="00DA3DDE" w:rsidRDefault="001739AB" w:rsidP="009B45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1739AB" w:rsidRPr="006A6F7C" w14:paraId="15793B36" w14:textId="77777777" w:rsidTr="009B4542">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018F3CE7"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6F2014C6" w14:textId="77777777"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B0192E">
              <w:rPr>
                <w:rFonts w:ascii="Arial" w:hAnsi="Arial" w:cs="Arial"/>
                <w:color w:val="000000"/>
                <w:sz w:val="18"/>
                <w:szCs w:val="18"/>
              </w:rPr>
              <w:t>$</w:t>
            </w:r>
            <w:r>
              <w:rPr>
                <w:rFonts w:ascii="Arial" w:hAnsi="Arial" w:cs="Arial"/>
                <w:color w:val="000000"/>
                <w:sz w:val="18"/>
                <w:szCs w:val="18"/>
              </w:rPr>
              <w:t>8.97</w:t>
            </w:r>
          </w:p>
        </w:tc>
        <w:tc>
          <w:tcPr>
            <w:tcW w:w="813" w:type="pct"/>
            <w:shd w:val="clear" w:color="auto" w:fill="FFFFFF" w:themeFill="background1"/>
            <w:tcMar>
              <w:left w:w="115" w:type="dxa"/>
              <w:right w:w="115" w:type="dxa"/>
            </w:tcMar>
          </w:tcPr>
          <w:p w14:paraId="3CC9EC3D" w14:textId="77777777"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Pr>
                <w:rFonts w:ascii="Arial" w:hAnsi="Arial" w:cs="Arial"/>
                <w:color w:val="000000"/>
                <w:sz w:val="18"/>
                <w:szCs w:val="18"/>
              </w:rPr>
              <w:t>16.6</w:t>
            </w:r>
            <w:r w:rsidRPr="007E5A2F">
              <w:rPr>
                <w:rFonts w:ascii="Arial" w:hAnsi="Arial" w:cs="Arial"/>
                <w:color w:val="000000"/>
                <w:sz w:val="18"/>
                <w:szCs w:val="18"/>
              </w:rPr>
              <w:t>%</w:t>
            </w:r>
          </w:p>
        </w:tc>
        <w:tc>
          <w:tcPr>
            <w:tcW w:w="876" w:type="pct"/>
            <w:shd w:val="clear" w:color="auto" w:fill="FFFFFF" w:themeFill="background1"/>
            <w:tcMar>
              <w:left w:w="115" w:type="dxa"/>
              <w:right w:w="115" w:type="dxa"/>
            </w:tcMar>
          </w:tcPr>
          <w:p w14:paraId="2978AC5D" w14:textId="77777777"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Pr>
                <w:rFonts w:ascii="Arial" w:hAnsi="Arial" w:cs="Arial"/>
                <w:color w:val="000000"/>
                <w:sz w:val="18"/>
                <w:szCs w:val="18"/>
              </w:rPr>
              <w:t>17.3</w:t>
            </w:r>
            <w:r w:rsidRPr="007E5A2F">
              <w:rPr>
                <w:rFonts w:ascii="Arial" w:hAnsi="Arial" w:cs="Arial"/>
                <w:color w:val="000000"/>
                <w:sz w:val="18"/>
                <w:szCs w:val="18"/>
              </w:rPr>
              <w:t>%</w:t>
            </w:r>
          </w:p>
        </w:tc>
      </w:tr>
      <w:tr w:rsidR="001739AB" w:rsidRPr="006A6F7C" w14:paraId="70FF7601" w14:textId="77777777" w:rsidTr="009B4542">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66E14EC5"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6C97D8B2" w14:textId="77777777"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B0192E">
              <w:rPr>
                <w:rFonts w:ascii="Arial" w:hAnsi="Arial" w:cs="Arial"/>
                <w:color w:val="000000"/>
                <w:sz w:val="18"/>
                <w:szCs w:val="18"/>
              </w:rPr>
              <w:t>$</w:t>
            </w:r>
            <w:r>
              <w:rPr>
                <w:rFonts w:ascii="Arial" w:hAnsi="Arial" w:cs="Arial"/>
                <w:color w:val="000000"/>
                <w:sz w:val="18"/>
                <w:szCs w:val="18"/>
              </w:rPr>
              <w:t>9.50</w:t>
            </w:r>
          </w:p>
        </w:tc>
        <w:tc>
          <w:tcPr>
            <w:tcW w:w="813" w:type="pct"/>
            <w:shd w:val="clear" w:color="auto" w:fill="D9D9D9" w:themeFill="background1" w:themeFillShade="D9"/>
            <w:tcMar>
              <w:left w:w="115" w:type="dxa"/>
              <w:right w:w="115" w:type="dxa"/>
            </w:tcMar>
          </w:tcPr>
          <w:p w14:paraId="18610B8B" w14:textId="77777777"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Pr>
                <w:rFonts w:ascii="Arial" w:hAnsi="Arial" w:cs="Arial"/>
                <w:color w:val="000000"/>
                <w:sz w:val="18"/>
                <w:szCs w:val="18"/>
              </w:rPr>
              <w:t>5.1</w:t>
            </w:r>
            <w:r w:rsidRPr="007E5A2F">
              <w:rPr>
                <w:rFonts w:ascii="Arial" w:hAnsi="Arial" w:cs="Arial"/>
                <w:color w:val="000000"/>
                <w:sz w:val="18"/>
                <w:szCs w:val="18"/>
              </w:rPr>
              <w:t>%</w:t>
            </w:r>
          </w:p>
        </w:tc>
        <w:tc>
          <w:tcPr>
            <w:tcW w:w="876" w:type="pct"/>
            <w:shd w:val="clear" w:color="auto" w:fill="D9D9D9" w:themeFill="background1" w:themeFillShade="D9"/>
            <w:tcMar>
              <w:left w:w="115" w:type="dxa"/>
              <w:right w:w="115" w:type="dxa"/>
            </w:tcMar>
          </w:tcPr>
          <w:p w14:paraId="5E04961B" w14:textId="77777777"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Pr>
                <w:rFonts w:ascii="Arial" w:hAnsi="Arial" w:cs="Arial"/>
                <w:color w:val="000000"/>
                <w:sz w:val="18"/>
                <w:szCs w:val="18"/>
              </w:rPr>
              <w:t>5.0</w:t>
            </w:r>
            <w:r w:rsidRPr="007E5A2F">
              <w:rPr>
                <w:rFonts w:ascii="Arial" w:hAnsi="Arial" w:cs="Arial"/>
                <w:color w:val="000000"/>
                <w:sz w:val="18"/>
                <w:szCs w:val="18"/>
              </w:rPr>
              <w:t>%</w:t>
            </w:r>
          </w:p>
        </w:tc>
      </w:tr>
      <w:tr w:rsidR="001739AB" w:rsidRPr="006A6F7C" w14:paraId="34F775F7" w14:textId="77777777" w:rsidTr="009B4542">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135EE94B"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pollock</w:t>
            </w:r>
          </w:p>
        </w:tc>
        <w:tc>
          <w:tcPr>
            <w:tcW w:w="1175" w:type="pct"/>
            <w:shd w:val="clear" w:color="auto" w:fill="FFFFFF" w:themeFill="background1"/>
            <w:tcMar>
              <w:left w:w="115" w:type="dxa"/>
              <w:right w:w="115" w:type="dxa"/>
            </w:tcMar>
          </w:tcPr>
          <w:p w14:paraId="3B28AF7F" w14:textId="77777777"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B0192E">
              <w:rPr>
                <w:rFonts w:ascii="Arial" w:hAnsi="Arial" w:cs="Arial"/>
                <w:color w:val="000000"/>
                <w:sz w:val="18"/>
                <w:szCs w:val="18"/>
              </w:rPr>
              <w:t>$</w:t>
            </w:r>
            <w:r>
              <w:rPr>
                <w:rFonts w:ascii="Arial" w:hAnsi="Arial" w:cs="Arial"/>
                <w:color w:val="000000"/>
                <w:sz w:val="18"/>
                <w:szCs w:val="18"/>
              </w:rPr>
              <w:t>4.58</w:t>
            </w:r>
          </w:p>
        </w:tc>
        <w:tc>
          <w:tcPr>
            <w:tcW w:w="813" w:type="pct"/>
            <w:shd w:val="clear" w:color="auto" w:fill="FFFFFF" w:themeFill="background1"/>
            <w:tcMar>
              <w:left w:w="115" w:type="dxa"/>
              <w:right w:w="115" w:type="dxa"/>
            </w:tcMar>
          </w:tcPr>
          <w:p w14:paraId="22E17F65" w14:textId="77777777"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-3.5</w:t>
            </w:r>
            <w:r w:rsidRPr="007E5A2F">
              <w:rPr>
                <w:rFonts w:ascii="Arial" w:hAnsi="Arial" w:cs="Arial"/>
                <w:color w:val="000000"/>
                <w:sz w:val="18"/>
                <w:szCs w:val="18"/>
              </w:rPr>
              <w:t>%</w:t>
            </w:r>
          </w:p>
        </w:tc>
        <w:tc>
          <w:tcPr>
            <w:tcW w:w="876" w:type="pct"/>
            <w:shd w:val="clear" w:color="auto" w:fill="FFFFFF" w:themeFill="background1"/>
            <w:tcMar>
              <w:left w:w="115" w:type="dxa"/>
              <w:right w:w="115" w:type="dxa"/>
            </w:tcMar>
          </w:tcPr>
          <w:p w14:paraId="3FE0FA84" w14:textId="77777777"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-0.1</w:t>
            </w:r>
            <w:r w:rsidRPr="007E5A2F">
              <w:rPr>
                <w:rFonts w:ascii="Arial" w:hAnsi="Arial" w:cs="Arial"/>
                <w:color w:val="000000"/>
                <w:sz w:val="18"/>
                <w:szCs w:val="18"/>
              </w:rPr>
              <w:t>%</w:t>
            </w:r>
          </w:p>
        </w:tc>
      </w:tr>
      <w:tr w:rsidR="001739AB" w:rsidRPr="006A6F7C" w14:paraId="120DB019" w14:textId="77777777" w:rsidTr="009B4542">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47560AC"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tilapia</w:t>
            </w:r>
          </w:p>
        </w:tc>
        <w:tc>
          <w:tcPr>
            <w:tcW w:w="1175" w:type="pct"/>
            <w:shd w:val="clear" w:color="auto" w:fill="D9D9D9" w:themeFill="background1" w:themeFillShade="D9"/>
            <w:tcMar>
              <w:left w:w="115" w:type="dxa"/>
              <w:right w:w="115" w:type="dxa"/>
            </w:tcMar>
          </w:tcPr>
          <w:p w14:paraId="760A5516" w14:textId="77777777"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B0192E">
              <w:rPr>
                <w:rFonts w:ascii="Arial" w:hAnsi="Arial" w:cs="Arial"/>
                <w:color w:val="000000"/>
                <w:sz w:val="18"/>
                <w:szCs w:val="18"/>
              </w:rPr>
              <w:t>$</w:t>
            </w:r>
            <w:r>
              <w:rPr>
                <w:rFonts w:ascii="Arial" w:hAnsi="Arial" w:cs="Arial"/>
                <w:color w:val="000000"/>
                <w:sz w:val="18"/>
                <w:szCs w:val="18"/>
              </w:rPr>
              <w:t>5.21</w:t>
            </w:r>
          </w:p>
        </w:tc>
        <w:tc>
          <w:tcPr>
            <w:tcW w:w="813" w:type="pct"/>
            <w:shd w:val="clear" w:color="auto" w:fill="D9D9D9" w:themeFill="background1" w:themeFillShade="D9"/>
            <w:tcMar>
              <w:left w:w="115" w:type="dxa"/>
              <w:right w:w="115" w:type="dxa"/>
            </w:tcMar>
          </w:tcPr>
          <w:p w14:paraId="056F2C73" w14:textId="77777777"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7E5A2F">
              <w:rPr>
                <w:rFonts w:ascii="Arial" w:hAnsi="Arial" w:cs="Arial"/>
                <w:color w:val="000000"/>
                <w:sz w:val="18"/>
                <w:szCs w:val="18"/>
              </w:rPr>
              <w:t>+</w:t>
            </w:r>
            <w:r>
              <w:rPr>
                <w:rFonts w:ascii="Arial" w:hAnsi="Arial" w:cs="Arial"/>
                <w:color w:val="000000"/>
                <w:sz w:val="18"/>
                <w:szCs w:val="18"/>
              </w:rPr>
              <w:t>1.6</w:t>
            </w:r>
            <w:r w:rsidRPr="007E5A2F">
              <w:rPr>
                <w:rFonts w:ascii="Arial" w:hAnsi="Arial" w:cs="Arial"/>
                <w:color w:val="000000"/>
                <w:sz w:val="18"/>
                <w:szCs w:val="18"/>
              </w:rPr>
              <w:t>%</w:t>
            </w:r>
          </w:p>
        </w:tc>
        <w:tc>
          <w:tcPr>
            <w:tcW w:w="876" w:type="pct"/>
            <w:shd w:val="clear" w:color="auto" w:fill="D9D9D9" w:themeFill="background1" w:themeFillShade="D9"/>
            <w:tcMar>
              <w:left w:w="115" w:type="dxa"/>
              <w:right w:w="115" w:type="dxa"/>
            </w:tcMar>
          </w:tcPr>
          <w:p w14:paraId="1508EA35" w14:textId="77777777"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7E5A2F">
              <w:rPr>
                <w:rFonts w:ascii="Arial" w:hAnsi="Arial" w:cs="Arial"/>
                <w:color w:val="000000"/>
                <w:sz w:val="18"/>
                <w:szCs w:val="18"/>
              </w:rPr>
              <w:t>+</w:t>
            </w:r>
            <w:r>
              <w:rPr>
                <w:rFonts w:ascii="Arial" w:hAnsi="Arial" w:cs="Arial"/>
                <w:color w:val="000000"/>
                <w:sz w:val="18"/>
                <w:szCs w:val="18"/>
              </w:rPr>
              <w:t>8.2</w:t>
            </w:r>
            <w:r w:rsidRPr="007E5A2F">
              <w:rPr>
                <w:rFonts w:ascii="Arial" w:hAnsi="Arial" w:cs="Arial"/>
                <w:color w:val="000000"/>
                <w:sz w:val="18"/>
                <w:szCs w:val="18"/>
              </w:rPr>
              <w:t>%</w:t>
            </w:r>
          </w:p>
        </w:tc>
      </w:tr>
      <w:tr w:rsidR="001739AB" w:rsidRPr="006A6F7C" w14:paraId="427C2F4D" w14:textId="77777777" w:rsidTr="009B4542">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32297571"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crab</w:t>
            </w:r>
          </w:p>
        </w:tc>
        <w:tc>
          <w:tcPr>
            <w:tcW w:w="1175" w:type="pct"/>
            <w:shd w:val="clear" w:color="auto" w:fill="FFFFFF" w:themeFill="background1"/>
            <w:tcMar>
              <w:left w:w="115" w:type="dxa"/>
              <w:right w:w="115" w:type="dxa"/>
            </w:tcMar>
          </w:tcPr>
          <w:p w14:paraId="7B8B3907" w14:textId="77777777"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B0192E">
              <w:rPr>
                <w:rFonts w:ascii="Arial" w:hAnsi="Arial" w:cs="Arial"/>
                <w:color w:val="000000"/>
                <w:sz w:val="18"/>
                <w:szCs w:val="18"/>
              </w:rPr>
              <w:t>$</w:t>
            </w:r>
            <w:r>
              <w:rPr>
                <w:rFonts w:ascii="Arial" w:hAnsi="Arial" w:cs="Arial"/>
                <w:color w:val="000000"/>
                <w:sz w:val="18"/>
                <w:szCs w:val="18"/>
              </w:rPr>
              <w:t>13.40</w:t>
            </w:r>
          </w:p>
        </w:tc>
        <w:tc>
          <w:tcPr>
            <w:tcW w:w="813" w:type="pct"/>
            <w:shd w:val="clear" w:color="auto" w:fill="FFFFFF" w:themeFill="background1"/>
            <w:tcMar>
              <w:left w:w="115" w:type="dxa"/>
              <w:right w:w="115" w:type="dxa"/>
            </w:tcMar>
            <w:vAlign w:val="bottom"/>
          </w:tcPr>
          <w:p w14:paraId="2717BE9A" w14:textId="77777777"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+12.1</w:t>
            </w:r>
            <w:r w:rsidRPr="006A6F7C">
              <w:rPr>
                <w:rFonts w:ascii="Arial" w:hAnsi="Arial" w:cs="Arial"/>
                <w:color w:val="000000"/>
                <w:sz w:val="18"/>
                <w:szCs w:val="18"/>
              </w:rPr>
              <w:t>%</w:t>
            </w:r>
          </w:p>
        </w:tc>
        <w:tc>
          <w:tcPr>
            <w:tcW w:w="876" w:type="pct"/>
            <w:shd w:val="clear" w:color="auto" w:fill="FFFFFF" w:themeFill="background1"/>
            <w:tcMar>
              <w:left w:w="115" w:type="dxa"/>
              <w:right w:w="115" w:type="dxa"/>
            </w:tcMar>
            <w:vAlign w:val="bottom"/>
          </w:tcPr>
          <w:p w14:paraId="54F7D390" w14:textId="77777777"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+19.0</w:t>
            </w:r>
            <w:r w:rsidRPr="006A6F7C">
              <w:rPr>
                <w:rFonts w:ascii="Arial" w:hAnsi="Arial" w:cs="Arial"/>
                <w:color w:val="000000"/>
                <w:sz w:val="18"/>
                <w:szCs w:val="18"/>
              </w:rPr>
              <w:t>%</w:t>
            </w:r>
          </w:p>
        </w:tc>
      </w:tr>
    </w:tbl>
    <w:p w14:paraId="18412555" w14:textId="6B551860" w:rsidR="00830CBF" w:rsidRDefault="006A6F7C" w:rsidP="00E35BCC">
      <w:pPr>
        <w:pStyle w:val="NoSpacing"/>
        <w:ind w:right="6941"/>
        <w:rPr>
          <w:rFonts w:ascii="Arial" w:hAnsi="Arial" w:cs="Arial"/>
          <w:sz w:val="20"/>
          <w:szCs w:val="20"/>
        </w:rPr>
      </w:pPr>
      <w:r>
        <w:rPr>
          <w:rFonts w:ascii="Arial" w:hAnsi="Arial" w:cs="Arial"/>
          <w:sz w:val="20"/>
          <w:szCs w:val="20"/>
        </w:rPr>
        <w:t>Among the top frozen species</w:t>
      </w:r>
      <w:r w:rsidR="00775444">
        <w:rPr>
          <w:rFonts w:ascii="Arial" w:hAnsi="Arial" w:cs="Arial"/>
          <w:sz w:val="20"/>
          <w:szCs w:val="20"/>
        </w:rPr>
        <w:t xml:space="preserve">, </w:t>
      </w:r>
      <w:r w:rsidR="001739AB">
        <w:rPr>
          <w:rFonts w:ascii="Arial" w:hAnsi="Arial" w:cs="Arial"/>
          <w:sz w:val="20"/>
          <w:szCs w:val="20"/>
        </w:rPr>
        <w:t>shrimp prices continued to increase rapidly, to an average of $8.97 per pound. Frozen salmon prices were up by about 5% while pollock prices were down. Frozen crab prices also rose by double digits.</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5"/>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01824165" w14:textId="0F6DBEE4" w:rsidR="001544DD" w:rsidRDefault="00587DE4" w:rsidP="00BB587C">
      <w:pPr>
        <w:pStyle w:val="NoSpacing"/>
        <w:rPr>
          <w:rFonts w:ascii="Arial" w:hAnsi="Arial" w:cs="Arial"/>
          <w:sz w:val="20"/>
        </w:rPr>
      </w:pPr>
      <w:bookmarkStart w:id="6" w:name="_Hlk92610860"/>
      <w:r>
        <w:rPr>
          <w:rFonts w:ascii="Arial" w:hAnsi="Arial" w:cs="Arial"/>
          <w:sz w:val="20"/>
        </w:rPr>
        <w:t xml:space="preserve">The Easter season mismatch led to robust gains for seafood dollars and pounds in refrigerated, frozen and shelf-stable. Frozen seafood sales edged out fresh in February, at $752 million versus $729 million, respectively. However, fresh seafood had the bigger pound gains, at +4.6% year-over-year. Shelf-stable also had a terrific month, likely </w:t>
      </w:r>
      <w:r w:rsidR="00C217FB">
        <w:rPr>
          <w:rFonts w:ascii="Arial" w:hAnsi="Arial" w:cs="Arial"/>
          <w:sz w:val="20"/>
        </w:rPr>
        <w:t xml:space="preserve">further boosted </w:t>
      </w:r>
      <w:r>
        <w:rPr>
          <w:rFonts w:ascii="Arial" w:hAnsi="Arial" w:cs="Arial"/>
          <w:sz w:val="20"/>
        </w:rPr>
        <w:t xml:space="preserve">by the second major snowstorm affecting </w:t>
      </w:r>
      <w:r w:rsidR="001739AB">
        <w:rPr>
          <w:rFonts w:ascii="Arial" w:hAnsi="Arial" w:cs="Arial"/>
          <w:sz w:val="20"/>
        </w:rPr>
        <w:t xml:space="preserve">many </w:t>
      </w:r>
      <w:r>
        <w:rPr>
          <w:rFonts w:ascii="Arial" w:hAnsi="Arial" w:cs="Arial"/>
          <w:sz w:val="20"/>
        </w:rPr>
        <w:t xml:space="preserve">Northeast households. </w:t>
      </w:r>
    </w:p>
    <w:p w14:paraId="6D47CEE6" w14:textId="77777777" w:rsidR="00AD1105" w:rsidRPr="006F697A" w:rsidRDefault="00AD1105"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1890"/>
        <w:gridCol w:w="990"/>
        <w:gridCol w:w="853"/>
        <w:gridCol w:w="913"/>
        <w:gridCol w:w="883"/>
        <w:gridCol w:w="882"/>
        <w:gridCol w:w="973"/>
        <w:gridCol w:w="973"/>
        <w:gridCol w:w="973"/>
        <w:gridCol w:w="973"/>
      </w:tblGrid>
      <w:tr w:rsidR="00C853F3" w:rsidRPr="00BC7615" w14:paraId="4583C2C6" w14:textId="77777777" w:rsidTr="00E35BC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521" w:type="dxa"/>
            <w:gridSpan w:val="5"/>
            <w:tcBorders>
              <w:top w:val="none" w:sz="0" w:space="0" w:color="auto"/>
              <w:bottom w:val="none" w:sz="0" w:space="0" w:color="auto"/>
              <w:right w:val="none" w:sz="0" w:space="0" w:color="auto"/>
            </w:tcBorders>
            <w:shd w:val="clear" w:color="auto" w:fill="17365D" w:themeFill="text2" w:themeFillShade="BF"/>
          </w:tcPr>
          <w:p w14:paraId="653EE211" w14:textId="25818CEA" w:rsidR="00C853F3" w:rsidRPr="00BC7615" w:rsidRDefault="006A6067"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February 2026</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4356277B" w:rsidR="00C853F3" w:rsidRPr="00BC7615" w:rsidRDefault="00407D9A"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 xml:space="preserve">Last 52 weeks </w:t>
            </w:r>
          </w:p>
        </w:tc>
      </w:tr>
      <w:tr w:rsidR="00577D24" w:rsidRPr="00BC7615" w14:paraId="1B2E4D0E" w14:textId="77777777" w:rsidTr="00E35BC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99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 xml:space="preserve">vs.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F82D45" w:rsidRPr="001C710E" w14:paraId="33FBC25F" w14:textId="77777777" w:rsidTr="00F82D45">
        <w:trPr>
          <w:trHeight w:val="113"/>
        </w:trPr>
        <w:tc>
          <w:tcPr>
            <w:cnfStyle w:val="001000000000" w:firstRow="0" w:lastRow="0" w:firstColumn="1" w:lastColumn="0" w:oddVBand="0" w:evenVBand="0" w:oddHBand="0" w:evenHBand="0" w:firstRowFirstColumn="0" w:firstRowLastColumn="0" w:lastRowFirstColumn="0" w:lastRowLastColumn="0"/>
            <w:tcW w:w="1890" w:type="dxa"/>
            <w:noWrap/>
          </w:tcPr>
          <w:p w14:paraId="5A4EE10F" w14:textId="53228874" w:rsidR="00F82D45" w:rsidRPr="00E35BCC" w:rsidRDefault="00F82D45" w:rsidP="00F82D45">
            <w:pPr>
              <w:rPr>
                <w:rFonts w:ascii="Arial" w:eastAsia="Times New Roman" w:hAnsi="Arial" w:cs="Arial"/>
                <w:b w:val="0"/>
                <w:color w:val="000000" w:themeColor="text1"/>
                <w:sz w:val="18"/>
                <w:szCs w:val="18"/>
              </w:rPr>
            </w:pPr>
            <w:r w:rsidRPr="00E35BCC">
              <w:rPr>
                <w:rFonts w:ascii="Arial" w:eastAsia="Times New Roman" w:hAnsi="Arial" w:cs="Arial"/>
                <w:b w:val="0"/>
                <w:color w:val="000000" w:themeColor="text1"/>
                <w:sz w:val="18"/>
                <w:szCs w:val="18"/>
              </w:rPr>
              <w:t>Fresh seafood</w:t>
            </w:r>
          </w:p>
        </w:tc>
        <w:tc>
          <w:tcPr>
            <w:tcW w:w="990" w:type="dxa"/>
            <w:vAlign w:val="bottom"/>
          </w:tcPr>
          <w:p w14:paraId="1F1CE786" w14:textId="5FF2F977"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A6067">
              <w:rPr>
                <w:rFonts w:ascii="Arial" w:hAnsi="Arial" w:cs="Arial"/>
                <w:color w:val="000000"/>
                <w:sz w:val="18"/>
                <w:szCs w:val="18"/>
              </w:rPr>
              <w:t>729.0</w:t>
            </w:r>
            <w:r w:rsidRPr="00E35BCC">
              <w:rPr>
                <w:rFonts w:ascii="Arial" w:hAnsi="Arial" w:cs="Arial"/>
                <w:color w:val="000000"/>
                <w:sz w:val="18"/>
                <w:szCs w:val="18"/>
              </w:rPr>
              <w:t>M</w:t>
            </w:r>
          </w:p>
        </w:tc>
        <w:tc>
          <w:tcPr>
            <w:tcW w:w="853" w:type="dxa"/>
          </w:tcPr>
          <w:p w14:paraId="32EAC8D0" w14:textId="1052C3F9" w:rsidR="00F82D45" w:rsidRPr="00E35BCC" w:rsidRDefault="00BA7A86" w:rsidP="00F82D4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6A6067">
              <w:rPr>
                <w:rFonts w:ascii="Arial" w:hAnsi="Arial" w:cs="Arial"/>
                <w:color w:val="000000"/>
                <w:sz w:val="18"/>
                <w:szCs w:val="18"/>
              </w:rPr>
              <w:t>8.9</w:t>
            </w:r>
            <w:r w:rsidR="00F82D45" w:rsidRPr="00900B65">
              <w:rPr>
                <w:rFonts w:ascii="Arial" w:hAnsi="Arial" w:cs="Arial"/>
                <w:color w:val="000000"/>
                <w:sz w:val="18"/>
                <w:szCs w:val="18"/>
              </w:rPr>
              <w:t>%</w:t>
            </w:r>
          </w:p>
        </w:tc>
        <w:tc>
          <w:tcPr>
            <w:tcW w:w="913" w:type="dxa"/>
          </w:tcPr>
          <w:p w14:paraId="742691D3" w14:textId="237C09B8" w:rsidR="00F82D45" w:rsidRPr="00E35BCC" w:rsidRDefault="00BA7A86"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A6067">
              <w:rPr>
                <w:rFonts w:ascii="Arial" w:hAnsi="Arial" w:cs="Arial"/>
                <w:color w:val="000000"/>
                <w:sz w:val="18"/>
                <w:szCs w:val="18"/>
              </w:rPr>
              <w:t>4.6</w:t>
            </w:r>
            <w:r w:rsidR="00F82D45" w:rsidRPr="00900B65">
              <w:rPr>
                <w:rFonts w:ascii="Arial" w:hAnsi="Arial" w:cs="Arial"/>
                <w:color w:val="000000"/>
                <w:sz w:val="18"/>
                <w:szCs w:val="18"/>
              </w:rPr>
              <w:t>%</w:t>
            </w:r>
          </w:p>
        </w:tc>
        <w:tc>
          <w:tcPr>
            <w:tcW w:w="883" w:type="dxa"/>
            <w:vAlign w:val="bottom"/>
          </w:tcPr>
          <w:p w14:paraId="06B549B0" w14:textId="1E97166B" w:rsidR="00F82D45" w:rsidRPr="00E35BCC" w:rsidRDefault="006A6067"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+8.9</w:t>
            </w:r>
            <w:r w:rsidR="00F82D45" w:rsidRPr="00E35BCC">
              <w:rPr>
                <w:rFonts w:ascii="Arial" w:hAnsi="Arial" w:cs="Arial"/>
                <w:color w:val="000000"/>
                <w:sz w:val="18"/>
                <w:szCs w:val="18"/>
              </w:rPr>
              <w:t>%</w:t>
            </w:r>
          </w:p>
        </w:tc>
        <w:tc>
          <w:tcPr>
            <w:tcW w:w="882" w:type="dxa"/>
            <w:tcBorders>
              <w:right w:val="single" w:sz="4" w:space="0" w:color="31849B" w:themeColor="accent5" w:themeShade="BF"/>
            </w:tcBorders>
            <w:vAlign w:val="bottom"/>
          </w:tcPr>
          <w:p w14:paraId="73D88621" w14:textId="166A4545" w:rsidR="00F82D45" w:rsidRPr="00E35BCC" w:rsidRDefault="00BA7A86"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A6067">
              <w:rPr>
                <w:rFonts w:ascii="Arial" w:hAnsi="Arial" w:cs="Arial"/>
                <w:color w:val="000000"/>
                <w:sz w:val="18"/>
                <w:szCs w:val="18"/>
              </w:rPr>
              <w:t>0.4</w:t>
            </w:r>
            <w:r w:rsidR="00F82D45" w:rsidRPr="00E35BCC">
              <w:rPr>
                <w:rFonts w:ascii="Arial" w:hAnsi="Arial" w:cs="Arial"/>
                <w:color w:val="000000"/>
                <w:sz w:val="18"/>
                <w:szCs w:val="18"/>
              </w:rPr>
              <w:t>%</w:t>
            </w:r>
          </w:p>
        </w:tc>
        <w:tc>
          <w:tcPr>
            <w:tcW w:w="973" w:type="dxa"/>
            <w:tcBorders>
              <w:left w:val="single" w:sz="4" w:space="0" w:color="31849B" w:themeColor="accent5" w:themeShade="BF"/>
            </w:tcBorders>
          </w:tcPr>
          <w:p w14:paraId="549E8BBC" w14:textId="7F475056"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01E7">
              <w:rPr>
                <w:rFonts w:ascii="Arial" w:hAnsi="Arial" w:cs="Arial"/>
                <w:color w:val="000000"/>
                <w:sz w:val="18"/>
                <w:szCs w:val="18"/>
              </w:rPr>
              <w:t>+</w:t>
            </w:r>
            <w:r w:rsidR="006008B5">
              <w:rPr>
                <w:rFonts w:ascii="Arial" w:hAnsi="Arial" w:cs="Arial"/>
                <w:color w:val="000000"/>
                <w:sz w:val="18"/>
                <w:szCs w:val="18"/>
              </w:rPr>
              <w:t>2.8</w:t>
            </w:r>
            <w:r w:rsidRPr="000801E7">
              <w:rPr>
                <w:rFonts w:ascii="Arial" w:hAnsi="Arial" w:cs="Arial"/>
                <w:color w:val="000000"/>
                <w:sz w:val="18"/>
                <w:szCs w:val="18"/>
              </w:rPr>
              <w:t>%</w:t>
            </w:r>
          </w:p>
        </w:tc>
        <w:tc>
          <w:tcPr>
            <w:tcW w:w="973" w:type="dxa"/>
          </w:tcPr>
          <w:p w14:paraId="61638CED" w14:textId="55BA056B" w:rsidR="00F82D45" w:rsidRPr="00E35BCC" w:rsidRDefault="006008B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+1.3</w:t>
            </w:r>
            <w:r w:rsidR="00F82D45" w:rsidRPr="00224597">
              <w:rPr>
                <w:rFonts w:ascii="Arial" w:hAnsi="Arial" w:cs="Arial"/>
                <w:color w:val="000000"/>
                <w:sz w:val="18"/>
                <w:szCs w:val="18"/>
              </w:rPr>
              <w:t>%</w:t>
            </w:r>
          </w:p>
        </w:tc>
        <w:tc>
          <w:tcPr>
            <w:tcW w:w="973" w:type="dxa"/>
          </w:tcPr>
          <w:p w14:paraId="432253F0" w14:textId="78227D0D" w:rsidR="00F82D45" w:rsidRPr="00E35BCC" w:rsidRDefault="006008B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+0.8</w:t>
            </w:r>
            <w:r w:rsidR="00F82D45" w:rsidRPr="00224597">
              <w:rPr>
                <w:rFonts w:ascii="Arial" w:hAnsi="Arial" w:cs="Arial"/>
                <w:color w:val="000000"/>
                <w:sz w:val="18"/>
                <w:szCs w:val="18"/>
              </w:rPr>
              <w:t>%</w:t>
            </w:r>
          </w:p>
        </w:tc>
        <w:tc>
          <w:tcPr>
            <w:tcW w:w="973" w:type="dxa"/>
          </w:tcPr>
          <w:p w14:paraId="16FAF0FC" w14:textId="7BAA3F44"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24597">
              <w:rPr>
                <w:rFonts w:ascii="Arial" w:hAnsi="Arial" w:cs="Arial"/>
                <w:color w:val="000000"/>
                <w:sz w:val="18"/>
                <w:szCs w:val="18"/>
              </w:rPr>
              <w:t>-</w:t>
            </w:r>
            <w:r w:rsidR="006008B5">
              <w:rPr>
                <w:rFonts w:ascii="Arial" w:hAnsi="Arial" w:cs="Arial"/>
                <w:color w:val="000000"/>
                <w:sz w:val="18"/>
                <w:szCs w:val="18"/>
              </w:rPr>
              <w:t>1.3</w:t>
            </w:r>
            <w:r w:rsidRPr="00224597">
              <w:rPr>
                <w:rFonts w:ascii="Arial" w:hAnsi="Arial" w:cs="Arial"/>
                <w:color w:val="000000"/>
                <w:sz w:val="18"/>
                <w:szCs w:val="18"/>
              </w:rPr>
              <w:t>%</w:t>
            </w:r>
          </w:p>
        </w:tc>
      </w:tr>
      <w:tr w:rsidR="00F82D45" w:rsidRPr="001C710E" w14:paraId="63E619E4" w14:textId="77777777" w:rsidTr="00F82D4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noWrap/>
          </w:tcPr>
          <w:p w14:paraId="5C5C93A5" w14:textId="3375483C" w:rsidR="00F82D45" w:rsidRPr="00E35BCC" w:rsidRDefault="00F82D45" w:rsidP="00F82D45">
            <w:pPr>
              <w:rPr>
                <w:rFonts w:ascii="Arial" w:eastAsia="Times New Roman" w:hAnsi="Arial" w:cs="Arial"/>
                <w:b w:val="0"/>
                <w:color w:val="000000" w:themeColor="text1"/>
                <w:sz w:val="18"/>
                <w:szCs w:val="18"/>
                <w:highlight w:val="yellow"/>
              </w:rPr>
            </w:pPr>
            <w:r w:rsidRPr="00E35BCC">
              <w:rPr>
                <w:rFonts w:ascii="Arial" w:eastAsia="Times New Roman" w:hAnsi="Arial" w:cs="Arial"/>
                <w:b w:val="0"/>
                <w:color w:val="000000" w:themeColor="text1"/>
                <w:sz w:val="18"/>
                <w:szCs w:val="18"/>
              </w:rPr>
              <w:t>Frozen seafood</w:t>
            </w:r>
          </w:p>
        </w:tc>
        <w:tc>
          <w:tcPr>
            <w:tcW w:w="990" w:type="dxa"/>
            <w:shd w:val="clear" w:color="auto" w:fill="D9D9D9" w:themeFill="background1" w:themeFillShade="D9"/>
            <w:vAlign w:val="bottom"/>
          </w:tcPr>
          <w:p w14:paraId="669918AD" w14:textId="44D3AA38" w:rsidR="00F82D45" w:rsidRPr="00E35BCC"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6A6067">
              <w:rPr>
                <w:rFonts w:ascii="Arial" w:hAnsi="Arial" w:cs="Arial"/>
                <w:color w:val="000000"/>
                <w:sz w:val="18"/>
                <w:szCs w:val="18"/>
              </w:rPr>
              <w:t>752.4</w:t>
            </w:r>
            <w:r w:rsidRPr="00E35BCC">
              <w:rPr>
                <w:rFonts w:ascii="Arial" w:hAnsi="Arial" w:cs="Arial"/>
                <w:color w:val="000000"/>
                <w:sz w:val="18"/>
                <w:szCs w:val="18"/>
              </w:rPr>
              <w:t>M</w:t>
            </w:r>
          </w:p>
        </w:tc>
        <w:tc>
          <w:tcPr>
            <w:tcW w:w="853" w:type="dxa"/>
            <w:shd w:val="clear" w:color="auto" w:fill="D9D9D9" w:themeFill="background1" w:themeFillShade="D9"/>
          </w:tcPr>
          <w:p w14:paraId="1A5488BB" w14:textId="2A4F9D03" w:rsidR="00F82D45" w:rsidRPr="00E35BCC"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00B65">
              <w:rPr>
                <w:rFonts w:ascii="Arial" w:hAnsi="Arial" w:cs="Arial"/>
                <w:color w:val="000000"/>
                <w:sz w:val="18"/>
                <w:szCs w:val="18"/>
              </w:rPr>
              <w:t>+</w:t>
            </w:r>
            <w:r w:rsidR="006A6067">
              <w:rPr>
                <w:rFonts w:ascii="Arial" w:hAnsi="Arial" w:cs="Arial"/>
                <w:color w:val="000000"/>
                <w:sz w:val="18"/>
                <w:szCs w:val="18"/>
              </w:rPr>
              <w:t>12.7</w:t>
            </w:r>
            <w:r w:rsidRPr="00900B65">
              <w:rPr>
                <w:rFonts w:ascii="Arial" w:hAnsi="Arial" w:cs="Arial"/>
                <w:color w:val="000000"/>
                <w:sz w:val="18"/>
                <w:szCs w:val="18"/>
              </w:rPr>
              <w:t>%</w:t>
            </w:r>
          </w:p>
        </w:tc>
        <w:tc>
          <w:tcPr>
            <w:tcW w:w="913" w:type="dxa"/>
            <w:shd w:val="clear" w:color="auto" w:fill="D9D9D9" w:themeFill="background1" w:themeFillShade="D9"/>
          </w:tcPr>
          <w:p w14:paraId="380E2648" w14:textId="3AAAA9F4" w:rsidR="00F82D45" w:rsidRPr="00E35BCC" w:rsidRDefault="0043175B"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A6067">
              <w:rPr>
                <w:rFonts w:ascii="Arial" w:hAnsi="Arial" w:cs="Arial"/>
                <w:color w:val="000000"/>
                <w:sz w:val="18"/>
                <w:szCs w:val="18"/>
              </w:rPr>
              <w:t>3.5</w:t>
            </w:r>
            <w:r w:rsidR="00F82D45" w:rsidRPr="00900B65">
              <w:rPr>
                <w:rFonts w:ascii="Arial" w:hAnsi="Arial" w:cs="Arial"/>
                <w:color w:val="000000"/>
                <w:sz w:val="18"/>
                <w:szCs w:val="18"/>
              </w:rPr>
              <w:t>%</w:t>
            </w:r>
          </w:p>
        </w:tc>
        <w:tc>
          <w:tcPr>
            <w:tcW w:w="883" w:type="dxa"/>
            <w:shd w:val="clear" w:color="auto" w:fill="D9D9D9" w:themeFill="background1" w:themeFillShade="D9"/>
            <w:vAlign w:val="bottom"/>
          </w:tcPr>
          <w:p w14:paraId="11DF626A" w14:textId="50E8F519" w:rsidR="00F82D45" w:rsidRPr="00E35BCC" w:rsidRDefault="006A6067"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+5.2</w:t>
            </w:r>
            <w:r w:rsidR="00F82D45" w:rsidRPr="00E35BCC">
              <w:rPr>
                <w:rFonts w:ascii="Arial" w:hAnsi="Arial" w:cs="Arial"/>
                <w:color w:val="000000"/>
                <w:sz w:val="18"/>
                <w:szCs w:val="18"/>
              </w:rPr>
              <w:t>%</w:t>
            </w:r>
          </w:p>
        </w:tc>
        <w:tc>
          <w:tcPr>
            <w:tcW w:w="882" w:type="dxa"/>
            <w:tcBorders>
              <w:right w:val="single" w:sz="4" w:space="0" w:color="31849B" w:themeColor="accent5" w:themeShade="BF"/>
            </w:tcBorders>
            <w:shd w:val="clear" w:color="auto" w:fill="D9D9D9" w:themeFill="background1" w:themeFillShade="D9"/>
            <w:vAlign w:val="bottom"/>
          </w:tcPr>
          <w:p w14:paraId="41CF3035" w14:textId="7E63EEB4"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A6067">
              <w:rPr>
                <w:rFonts w:ascii="Arial" w:hAnsi="Arial" w:cs="Arial"/>
                <w:color w:val="000000"/>
                <w:sz w:val="18"/>
                <w:szCs w:val="18"/>
              </w:rPr>
              <w:t>6.3</w:t>
            </w:r>
            <w:r w:rsidRPr="00E35BCC">
              <w:rPr>
                <w:rFonts w:ascii="Arial" w:hAnsi="Arial" w:cs="Arial"/>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3FFE3232"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801E7">
              <w:rPr>
                <w:rFonts w:ascii="Arial" w:hAnsi="Arial" w:cs="Arial"/>
                <w:color w:val="000000"/>
                <w:sz w:val="18"/>
                <w:szCs w:val="18"/>
              </w:rPr>
              <w:t>+</w:t>
            </w:r>
            <w:r w:rsidR="006008B5">
              <w:rPr>
                <w:rFonts w:ascii="Arial" w:hAnsi="Arial" w:cs="Arial"/>
                <w:color w:val="000000"/>
                <w:sz w:val="18"/>
                <w:szCs w:val="18"/>
              </w:rPr>
              <w:t>3.6</w:t>
            </w:r>
            <w:r w:rsidRPr="000801E7">
              <w:rPr>
                <w:rFonts w:ascii="Arial" w:hAnsi="Arial" w:cs="Arial"/>
                <w:color w:val="000000"/>
                <w:sz w:val="18"/>
                <w:szCs w:val="18"/>
              </w:rPr>
              <w:t>%</w:t>
            </w:r>
          </w:p>
        </w:tc>
        <w:tc>
          <w:tcPr>
            <w:tcW w:w="973" w:type="dxa"/>
            <w:shd w:val="clear" w:color="auto" w:fill="D9D9D9" w:themeFill="background1" w:themeFillShade="D9"/>
            <w:vAlign w:val="bottom"/>
          </w:tcPr>
          <w:p w14:paraId="7BC58367" w14:textId="7C511F72" w:rsidR="00F82D45" w:rsidRPr="00E35BCC" w:rsidRDefault="0043175B"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8B5">
              <w:rPr>
                <w:rFonts w:ascii="Arial" w:hAnsi="Arial" w:cs="Arial"/>
                <w:color w:val="000000"/>
                <w:sz w:val="18"/>
                <w:szCs w:val="18"/>
              </w:rPr>
              <w:t>1.9</w:t>
            </w:r>
            <w:r w:rsidR="00F82D45" w:rsidRPr="00E35BCC">
              <w:rPr>
                <w:rFonts w:ascii="Arial" w:hAnsi="Arial" w:cs="Arial"/>
                <w:color w:val="000000"/>
                <w:sz w:val="18"/>
                <w:szCs w:val="18"/>
              </w:rPr>
              <w:t>%</w:t>
            </w:r>
          </w:p>
        </w:tc>
        <w:tc>
          <w:tcPr>
            <w:tcW w:w="973" w:type="dxa"/>
            <w:shd w:val="clear" w:color="auto" w:fill="D9D9D9" w:themeFill="background1" w:themeFillShade="D9"/>
            <w:vAlign w:val="bottom"/>
          </w:tcPr>
          <w:p w14:paraId="634EFC21" w14:textId="535584B0"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6008B5">
              <w:rPr>
                <w:rFonts w:ascii="Arial" w:hAnsi="Arial" w:cs="Arial"/>
                <w:color w:val="000000"/>
                <w:sz w:val="18"/>
                <w:szCs w:val="18"/>
              </w:rPr>
              <w:t>0.7</w:t>
            </w:r>
            <w:r w:rsidRPr="00E35BCC">
              <w:rPr>
                <w:rFonts w:ascii="Arial" w:hAnsi="Arial" w:cs="Arial"/>
                <w:color w:val="000000"/>
                <w:sz w:val="18"/>
                <w:szCs w:val="18"/>
              </w:rPr>
              <w:t>%</w:t>
            </w:r>
          </w:p>
        </w:tc>
        <w:tc>
          <w:tcPr>
            <w:tcW w:w="973" w:type="dxa"/>
            <w:shd w:val="clear" w:color="auto" w:fill="D9D9D9" w:themeFill="background1" w:themeFillShade="D9"/>
            <w:vAlign w:val="bottom"/>
          </w:tcPr>
          <w:p w14:paraId="682B659D" w14:textId="531356D2" w:rsidR="00F82D45" w:rsidRPr="00E35BCC" w:rsidRDefault="006008B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-0.1</w:t>
            </w:r>
            <w:r w:rsidR="00F82D45" w:rsidRPr="00E35BCC">
              <w:rPr>
                <w:rFonts w:ascii="Arial" w:hAnsi="Arial" w:cs="Arial"/>
                <w:color w:val="000000"/>
                <w:sz w:val="18"/>
                <w:szCs w:val="18"/>
              </w:rPr>
              <w:t>%</w:t>
            </w:r>
          </w:p>
        </w:tc>
      </w:tr>
      <w:tr w:rsidR="00F82D45" w:rsidRPr="001C710E" w14:paraId="6B623256" w14:textId="77777777" w:rsidTr="00F82D45">
        <w:trPr>
          <w:trHeight w:val="7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0D7C2236" w14:textId="482E14F8" w:rsidR="00F82D45" w:rsidRPr="00E35BCC" w:rsidRDefault="00F82D45" w:rsidP="00F82D45">
            <w:pPr>
              <w:rPr>
                <w:rFonts w:ascii="Arial" w:eastAsia="Times New Roman" w:hAnsi="Arial" w:cs="Arial"/>
                <w:b w:val="0"/>
                <w:bCs w:val="0"/>
                <w:color w:val="000000" w:themeColor="text1"/>
                <w:sz w:val="18"/>
                <w:szCs w:val="18"/>
                <w:highlight w:val="yellow"/>
              </w:rPr>
            </w:pPr>
            <w:r w:rsidRPr="00E35BCC">
              <w:rPr>
                <w:rFonts w:ascii="Arial" w:eastAsia="Times New Roman" w:hAnsi="Arial" w:cs="Arial"/>
                <w:b w:val="0"/>
                <w:bCs w:val="0"/>
                <w:color w:val="000000" w:themeColor="text1"/>
                <w:sz w:val="18"/>
                <w:szCs w:val="18"/>
              </w:rPr>
              <w:t>Shelf-stable seafood</w:t>
            </w:r>
          </w:p>
        </w:tc>
        <w:tc>
          <w:tcPr>
            <w:tcW w:w="990" w:type="dxa"/>
            <w:vAlign w:val="bottom"/>
          </w:tcPr>
          <w:p w14:paraId="6E39380C" w14:textId="29ADFC49" w:rsidR="00F82D45" w:rsidRPr="00E35BCC" w:rsidRDefault="00F82D45" w:rsidP="00F82D45">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6A6067">
              <w:rPr>
                <w:rFonts w:ascii="Arial" w:hAnsi="Arial" w:cs="Arial"/>
                <w:color w:val="000000"/>
                <w:sz w:val="18"/>
                <w:szCs w:val="18"/>
              </w:rPr>
              <w:t>299.2</w:t>
            </w:r>
            <w:r w:rsidRPr="00E35BCC">
              <w:rPr>
                <w:rFonts w:ascii="Arial" w:hAnsi="Arial" w:cs="Arial"/>
                <w:color w:val="000000"/>
                <w:sz w:val="18"/>
                <w:szCs w:val="18"/>
              </w:rPr>
              <w:t>M</w:t>
            </w:r>
          </w:p>
        </w:tc>
        <w:tc>
          <w:tcPr>
            <w:tcW w:w="853" w:type="dxa"/>
          </w:tcPr>
          <w:p w14:paraId="24281AAC" w14:textId="03575082"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900B65">
              <w:rPr>
                <w:rFonts w:ascii="Arial" w:hAnsi="Arial" w:cs="Arial"/>
                <w:color w:val="000000"/>
                <w:sz w:val="18"/>
                <w:szCs w:val="18"/>
              </w:rPr>
              <w:t>+</w:t>
            </w:r>
            <w:r w:rsidR="0043175B">
              <w:rPr>
                <w:rFonts w:ascii="Arial" w:hAnsi="Arial" w:cs="Arial"/>
                <w:color w:val="000000"/>
                <w:sz w:val="18"/>
                <w:szCs w:val="18"/>
              </w:rPr>
              <w:t>1</w:t>
            </w:r>
            <w:r w:rsidR="006A6067">
              <w:rPr>
                <w:rFonts w:ascii="Arial" w:hAnsi="Arial" w:cs="Arial"/>
                <w:color w:val="000000"/>
                <w:sz w:val="18"/>
                <w:szCs w:val="18"/>
              </w:rPr>
              <w:t>8.0</w:t>
            </w:r>
            <w:r w:rsidRPr="00900B65">
              <w:rPr>
                <w:rFonts w:ascii="Arial" w:hAnsi="Arial" w:cs="Arial"/>
                <w:color w:val="000000"/>
                <w:sz w:val="18"/>
                <w:szCs w:val="18"/>
              </w:rPr>
              <w:t>%</w:t>
            </w:r>
          </w:p>
        </w:tc>
        <w:tc>
          <w:tcPr>
            <w:tcW w:w="913" w:type="dxa"/>
          </w:tcPr>
          <w:p w14:paraId="31940B22" w14:textId="4150DD32"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5CB1">
              <w:rPr>
                <w:rFonts w:ascii="Arial" w:hAnsi="Arial" w:cs="Arial"/>
                <w:color w:val="000000"/>
                <w:sz w:val="18"/>
                <w:szCs w:val="18"/>
              </w:rPr>
              <w:t>+</w:t>
            </w:r>
            <w:r w:rsidR="006A6067">
              <w:rPr>
                <w:rFonts w:ascii="Arial" w:hAnsi="Arial" w:cs="Arial"/>
                <w:color w:val="000000"/>
                <w:sz w:val="18"/>
                <w:szCs w:val="18"/>
              </w:rPr>
              <w:t>10.2</w:t>
            </w:r>
            <w:r w:rsidRPr="000D5CB1">
              <w:rPr>
                <w:rFonts w:ascii="Arial" w:hAnsi="Arial" w:cs="Arial"/>
                <w:color w:val="000000"/>
                <w:sz w:val="18"/>
                <w:szCs w:val="18"/>
              </w:rPr>
              <w:t>%</w:t>
            </w:r>
          </w:p>
        </w:tc>
        <w:tc>
          <w:tcPr>
            <w:tcW w:w="883" w:type="dxa"/>
          </w:tcPr>
          <w:p w14:paraId="177BD83E" w14:textId="30CCB8B5"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5CB1">
              <w:rPr>
                <w:rFonts w:ascii="Arial" w:hAnsi="Arial" w:cs="Arial"/>
                <w:color w:val="000000"/>
                <w:sz w:val="18"/>
                <w:szCs w:val="18"/>
              </w:rPr>
              <w:t>+</w:t>
            </w:r>
            <w:r w:rsidR="006A6067">
              <w:rPr>
                <w:rFonts w:ascii="Arial" w:hAnsi="Arial" w:cs="Arial"/>
                <w:color w:val="000000"/>
                <w:sz w:val="18"/>
                <w:szCs w:val="18"/>
              </w:rPr>
              <w:t>9.4</w:t>
            </w:r>
            <w:r w:rsidRPr="000D5CB1">
              <w:rPr>
                <w:rFonts w:ascii="Arial" w:hAnsi="Arial" w:cs="Arial"/>
                <w:color w:val="000000"/>
                <w:sz w:val="18"/>
                <w:szCs w:val="18"/>
              </w:rPr>
              <w:t>%</w:t>
            </w:r>
          </w:p>
        </w:tc>
        <w:tc>
          <w:tcPr>
            <w:tcW w:w="882" w:type="dxa"/>
            <w:tcBorders>
              <w:right w:val="single" w:sz="4" w:space="0" w:color="31849B" w:themeColor="accent5" w:themeShade="BF"/>
            </w:tcBorders>
          </w:tcPr>
          <w:p w14:paraId="0523818B" w14:textId="690C5F2A"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5CB1">
              <w:rPr>
                <w:rFonts w:ascii="Arial" w:hAnsi="Arial" w:cs="Arial"/>
                <w:color w:val="000000"/>
                <w:sz w:val="18"/>
                <w:szCs w:val="18"/>
              </w:rPr>
              <w:t>+</w:t>
            </w:r>
            <w:r w:rsidR="006A6067">
              <w:rPr>
                <w:rFonts w:ascii="Arial" w:hAnsi="Arial" w:cs="Arial"/>
                <w:color w:val="000000"/>
                <w:sz w:val="18"/>
                <w:szCs w:val="18"/>
              </w:rPr>
              <w:t>2.5</w:t>
            </w:r>
            <w:r w:rsidRPr="000D5CB1">
              <w:rPr>
                <w:rFonts w:ascii="Arial" w:hAnsi="Arial" w:cs="Arial"/>
                <w:color w:val="000000"/>
                <w:sz w:val="18"/>
                <w:szCs w:val="18"/>
              </w:rPr>
              <w:t>%</w:t>
            </w:r>
          </w:p>
        </w:tc>
        <w:tc>
          <w:tcPr>
            <w:tcW w:w="973" w:type="dxa"/>
            <w:tcBorders>
              <w:left w:val="single" w:sz="4" w:space="0" w:color="31849B" w:themeColor="accent5" w:themeShade="BF"/>
            </w:tcBorders>
          </w:tcPr>
          <w:p w14:paraId="3E2D5BC2" w14:textId="223ED163" w:rsidR="00F82D45" w:rsidRPr="00E35BCC" w:rsidRDefault="006008B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+5.3</w:t>
            </w:r>
            <w:r w:rsidR="00F82D45" w:rsidRPr="000801E7">
              <w:rPr>
                <w:rFonts w:ascii="Arial" w:hAnsi="Arial" w:cs="Arial"/>
                <w:color w:val="000000"/>
                <w:sz w:val="18"/>
                <w:szCs w:val="18"/>
              </w:rPr>
              <w:t>%</w:t>
            </w:r>
          </w:p>
        </w:tc>
        <w:tc>
          <w:tcPr>
            <w:tcW w:w="973" w:type="dxa"/>
          </w:tcPr>
          <w:p w14:paraId="6D25E609" w14:textId="02DB2D5C"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215BD">
              <w:rPr>
                <w:rFonts w:ascii="Arial" w:hAnsi="Arial" w:cs="Arial"/>
                <w:color w:val="000000"/>
                <w:sz w:val="18"/>
                <w:szCs w:val="18"/>
              </w:rPr>
              <w:t>+</w:t>
            </w:r>
            <w:r w:rsidR="006008B5">
              <w:rPr>
                <w:rFonts w:ascii="Arial" w:hAnsi="Arial" w:cs="Arial"/>
                <w:color w:val="000000"/>
                <w:sz w:val="18"/>
                <w:szCs w:val="18"/>
              </w:rPr>
              <w:t>6.6</w:t>
            </w:r>
            <w:r w:rsidRPr="00D215BD">
              <w:rPr>
                <w:rFonts w:ascii="Arial" w:hAnsi="Arial" w:cs="Arial"/>
                <w:color w:val="000000"/>
                <w:sz w:val="18"/>
                <w:szCs w:val="18"/>
              </w:rPr>
              <w:t>%</w:t>
            </w:r>
          </w:p>
        </w:tc>
        <w:tc>
          <w:tcPr>
            <w:tcW w:w="973" w:type="dxa"/>
          </w:tcPr>
          <w:p w14:paraId="61F6C8D3" w14:textId="5CAABCAC"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215BD">
              <w:rPr>
                <w:rFonts w:ascii="Arial" w:hAnsi="Arial" w:cs="Arial"/>
                <w:color w:val="000000"/>
                <w:sz w:val="18"/>
                <w:szCs w:val="18"/>
              </w:rPr>
              <w:t>+</w:t>
            </w:r>
            <w:r w:rsidR="006008B5">
              <w:rPr>
                <w:rFonts w:ascii="Arial" w:hAnsi="Arial" w:cs="Arial"/>
                <w:color w:val="000000"/>
                <w:sz w:val="18"/>
                <w:szCs w:val="18"/>
              </w:rPr>
              <w:t>2.3</w:t>
            </w:r>
            <w:r w:rsidRPr="00D215BD">
              <w:rPr>
                <w:rFonts w:ascii="Arial" w:hAnsi="Arial" w:cs="Arial"/>
                <w:color w:val="000000"/>
                <w:sz w:val="18"/>
                <w:szCs w:val="18"/>
              </w:rPr>
              <w:t>%</w:t>
            </w:r>
          </w:p>
        </w:tc>
        <w:tc>
          <w:tcPr>
            <w:tcW w:w="973" w:type="dxa"/>
          </w:tcPr>
          <w:p w14:paraId="538333AC" w14:textId="0327A892"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215BD">
              <w:rPr>
                <w:rFonts w:ascii="Arial" w:hAnsi="Arial" w:cs="Arial"/>
                <w:color w:val="000000"/>
                <w:sz w:val="18"/>
                <w:szCs w:val="18"/>
              </w:rPr>
              <w:t>+</w:t>
            </w:r>
            <w:r w:rsidR="006008B5">
              <w:rPr>
                <w:rFonts w:ascii="Arial" w:hAnsi="Arial" w:cs="Arial"/>
                <w:color w:val="000000"/>
                <w:sz w:val="18"/>
                <w:szCs w:val="18"/>
              </w:rPr>
              <w:t>6.3</w:t>
            </w:r>
            <w:r w:rsidRPr="00D215BD">
              <w:rPr>
                <w:rFonts w:ascii="Arial" w:hAnsi="Arial" w:cs="Arial"/>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r w:rsidR="007A44BE">
        <w:rPr>
          <w:rFonts w:ascii="Arial" w:hAnsi="Arial" w:cs="Arial"/>
          <w:color w:val="7F7F7F" w:themeColor="text1" w:themeTint="80"/>
          <w:sz w:val="16"/>
          <w:szCs w:val="16"/>
        </w:rPr>
        <w:t>Circana</w:t>
      </w:r>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6"/>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bookmarkStart w:id="7" w:name="_Hlk224305795"/>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0040D89F" w:rsidR="00A94364" w:rsidRDefault="007417C7" w:rsidP="00456776">
      <w:pPr>
        <w:pStyle w:val="NoSpacing"/>
        <w:ind w:right="11"/>
        <w:rPr>
          <w:rFonts w:ascii="Arial" w:hAnsi="Arial" w:cs="Arial"/>
          <w:sz w:val="20"/>
        </w:rPr>
      </w:pPr>
      <w:r>
        <w:rPr>
          <w:rFonts w:ascii="Arial" w:hAnsi="Arial" w:cs="Arial"/>
          <w:sz w:val="20"/>
        </w:rPr>
        <w:t xml:space="preserve">Shelf-stable cans and pouches had a strong February, generating robust dollar and unit growth. Ambient sardines, boosted by social media fame continued to gain rapidly, with February sales up 50.2% over year-ago levels.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75C35"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75C35" w:rsidRPr="00AD60E2" w:rsidRDefault="00C75C35" w:rsidP="00C75C35">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1FA70F92" w:rsidR="00C75C35" w:rsidRPr="00AD60E2" w:rsidRDefault="006A6067"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February 2026</w:t>
            </w:r>
          </w:p>
        </w:tc>
        <w:tc>
          <w:tcPr>
            <w:tcW w:w="4410" w:type="dxa"/>
            <w:gridSpan w:val="3"/>
            <w:tcBorders>
              <w:bottom w:val="none" w:sz="0" w:space="0" w:color="auto"/>
            </w:tcBorders>
            <w:shd w:val="clear" w:color="auto" w:fill="17365D" w:themeFill="text2" w:themeFillShade="BF"/>
          </w:tcPr>
          <w:p w14:paraId="62716401" w14:textId="1ACBB636" w:rsidR="00C75C35" w:rsidRPr="00AD60E2" w:rsidRDefault="00407D9A"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Last 52 weeks</w:t>
            </w:r>
          </w:p>
        </w:tc>
      </w:tr>
      <w:tr w:rsidR="008563FB" w:rsidRPr="00AD60E2" w14:paraId="429EBA58" w14:textId="77777777" w:rsidTr="004E5BF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F82D45" w:rsidRPr="00AD60E2" w14:paraId="11367CFE" w14:textId="77777777" w:rsidTr="00587DE4">
        <w:trPr>
          <w:trHeight w:val="278"/>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F82D45" w:rsidRPr="00250D03" w:rsidRDefault="00F82D45" w:rsidP="00F82D45">
            <w:pPr>
              <w:pStyle w:val="NoSpacing"/>
              <w:rPr>
                <w:rFonts w:ascii="Arial" w:hAnsi="Arial" w:cs="Arial"/>
                <w:bCs w:val="0"/>
                <w:sz w:val="18"/>
                <w:szCs w:val="18"/>
              </w:rPr>
            </w:pPr>
            <w:r w:rsidRPr="00250D03">
              <w:rPr>
                <w:rFonts w:ascii="Arial" w:eastAsia="Times New Roman" w:hAnsi="Arial" w:cs="Arial"/>
                <w:bCs w:val="0"/>
                <w:sz w:val="18"/>
                <w:szCs w:val="18"/>
              </w:rPr>
              <w:t>Ambient seafood</w:t>
            </w:r>
          </w:p>
        </w:tc>
        <w:tc>
          <w:tcPr>
            <w:tcW w:w="1485" w:type="dxa"/>
            <w:vAlign w:val="center"/>
          </w:tcPr>
          <w:p w14:paraId="13FD707B" w14:textId="373747D2"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7417C7">
              <w:rPr>
                <w:rFonts w:ascii="Arial" w:hAnsi="Arial" w:cs="Arial"/>
                <w:b/>
                <w:bCs/>
                <w:color w:val="000000"/>
                <w:sz w:val="18"/>
                <w:szCs w:val="18"/>
              </w:rPr>
              <w:t>299.2</w:t>
            </w:r>
            <w:r w:rsidRPr="0043175B">
              <w:rPr>
                <w:rFonts w:ascii="Arial" w:hAnsi="Arial" w:cs="Arial"/>
                <w:b/>
                <w:bCs/>
                <w:color w:val="000000"/>
                <w:sz w:val="18"/>
                <w:szCs w:val="18"/>
              </w:rPr>
              <w:t>M</w:t>
            </w:r>
          </w:p>
        </w:tc>
        <w:tc>
          <w:tcPr>
            <w:tcW w:w="1485" w:type="dxa"/>
            <w:vAlign w:val="center"/>
          </w:tcPr>
          <w:p w14:paraId="7CD0CA5D" w14:textId="0BFD7571"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7417C7">
              <w:rPr>
                <w:rFonts w:ascii="Arial" w:hAnsi="Arial" w:cs="Arial"/>
                <w:b/>
                <w:bCs/>
                <w:color w:val="000000"/>
                <w:sz w:val="18"/>
                <w:szCs w:val="18"/>
              </w:rPr>
              <w:t>18.0</w:t>
            </w:r>
            <w:r w:rsidRPr="0043175B">
              <w:rPr>
                <w:rFonts w:ascii="Arial" w:hAnsi="Arial" w:cs="Arial"/>
                <w:b/>
                <w:bCs/>
                <w:color w:val="000000"/>
                <w:sz w:val="18"/>
                <w:szCs w:val="18"/>
              </w:rPr>
              <w:t>%</w:t>
            </w:r>
          </w:p>
        </w:tc>
        <w:tc>
          <w:tcPr>
            <w:tcW w:w="1485" w:type="dxa"/>
            <w:tcBorders>
              <w:right w:val="single" w:sz="4" w:space="0" w:color="31849B" w:themeColor="accent5" w:themeShade="BF"/>
            </w:tcBorders>
            <w:vAlign w:val="center"/>
          </w:tcPr>
          <w:p w14:paraId="70F04E03" w14:textId="48E84E5D"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7417C7">
              <w:rPr>
                <w:rFonts w:ascii="Arial" w:hAnsi="Arial" w:cs="Arial"/>
                <w:b/>
                <w:bCs/>
                <w:color w:val="000000"/>
                <w:sz w:val="18"/>
                <w:szCs w:val="18"/>
              </w:rPr>
              <w:t>9.6</w:t>
            </w:r>
            <w:r w:rsidRPr="0043175B">
              <w:rPr>
                <w:rFonts w:ascii="Arial" w:hAnsi="Arial" w:cs="Arial"/>
                <w:b/>
                <w:bCs/>
                <w:color w:val="000000"/>
                <w:sz w:val="18"/>
                <w:szCs w:val="18"/>
              </w:rPr>
              <w:t>%</w:t>
            </w:r>
          </w:p>
        </w:tc>
        <w:tc>
          <w:tcPr>
            <w:tcW w:w="1485" w:type="dxa"/>
            <w:gridSpan w:val="2"/>
            <w:tcBorders>
              <w:left w:val="single" w:sz="4" w:space="0" w:color="31849B" w:themeColor="accent5" w:themeShade="BF"/>
            </w:tcBorders>
            <w:vAlign w:val="center"/>
          </w:tcPr>
          <w:p w14:paraId="4DEDCF96" w14:textId="06CCB3A9"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43175B" w:rsidRPr="0043175B">
              <w:rPr>
                <w:rFonts w:ascii="Arial" w:hAnsi="Arial" w:cs="Arial"/>
                <w:b/>
                <w:bCs/>
                <w:color w:val="000000"/>
                <w:sz w:val="18"/>
                <w:szCs w:val="18"/>
              </w:rPr>
              <w:t>3.</w:t>
            </w:r>
            <w:r w:rsidR="007417C7">
              <w:rPr>
                <w:rFonts w:ascii="Arial" w:hAnsi="Arial" w:cs="Arial"/>
                <w:b/>
                <w:bCs/>
                <w:color w:val="000000"/>
                <w:sz w:val="18"/>
                <w:szCs w:val="18"/>
              </w:rPr>
              <w:t>53</w:t>
            </w:r>
            <w:r w:rsidRPr="0043175B">
              <w:rPr>
                <w:rFonts w:ascii="Arial" w:hAnsi="Arial" w:cs="Arial"/>
                <w:b/>
                <w:bCs/>
                <w:color w:val="000000"/>
                <w:sz w:val="18"/>
                <w:szCs w:val="18"/>
              </w:rPr>
              <w:t>B</w:t>
            </w:r>
          </w:p>
        </w:tc>
        <w:tc>
          <w:tcPr>
            <w:tcW w:w="1485" w:type="dxa"/>
            <w:vAlign w:val="center"/>
          </w:tcPr>
          <w:p w14:paraId="37418921" w14:textId="188300B0"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7417C7">
              <w:rPr>
                <w:rFonts w:ascii="Arial" w:hAnsi="Arial" w:cs="Arial"/>
                <w:b/>
                <w:bCs/>
                <w:color w:val="000000"/>
                <w:sz w:val="18"/>
                <w:szCs w:val="18"/>
              </w:rPr>
              <w:t>5.3</w:t>
            </w:r>
            <w:r w:rsidRPr="0043175B">
              <w:rPr>
                <w:rFonts w:ascii="Arial" w:hAnsi="Arial" w:cs="Arial"/>
                <w:b/>
                <w:bCs/>
                <w:color w:val="000000"/>
                <w:sz w:val="18"/>
                <w:szCs w:val="18"/>
              </w:rPr>
              <w:t>%</w:t>
            </w:r>
          </w:p>
        </w:tc>
        <w:tc>
          <w:tcPr>
            <w:tcW w:w="1485" w:type="dxa"/>
            <w:vAlign w:val="center"/>
          </w:tcPr>
          <w:p w14:paraId="68369672" w14:textId="7BAC9FF8"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7417C7">
              <w:rPr>
                <w:rFonts w:ascii="Arial" w:hAnsi="Arial" w:cs="Arial"/>
                <w:b/>
                <w:bCs/>
                <w:color w:val="000000"/>
                <w:sz w:val="18"/>
                <w:szCs w:val="18"/>
              </w:rPr>
              <w:t>2.9</w:t>
            </w:r>
            <w:r w:rsidRPr="0043175B">
              <w:rPr>
                <w:rFonts w:ascii="Arial" w:hAnsi="Arial" w:cs="Arial"/>
                <w:b/>
                <w:bCs/>
                <w:color w:val="000000"/>
                <w:sz w:val="18"/>
                <w:szCs w:val="18"/>
              </w:rPr>
              <w:t>%</w:t>
            </w:r>
          </w:p>
        </w:tc>
      </w:tr>
      <w:tr w:rsidR="00F82D45" w:rsidRPr="00AD60E2" w14:paraId="5340B729" w14:textId="77777777" w:rsidTr="0043175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F82D45" w:rsidRPr="00250D03" w:rsidRDefault="00F82D45" w:rsidP="00F82D45">
            <w:pPr>
              <w:pStyle w:val="NoSpacing"/>
              <w:rPr>
                <w:rFonts w:ascii="Arial" w:hAnsi="Arial" w:cs="Arial"/>
                <w:b w:val="0"/>
                <w:bCs w:val="0"/>
                <w:sz w:val="18"/>
                <w:szCs w:val="18"/>
              </w:rPr>
            </w:pPr>
            <w:r w:rsidRPr="00250D03">
              <w:rPr>
                <w:rFonts w:ascii="Arial" w:eastAsia="Times New Roman" w:hAnsi="Arial" w:cs="Arial"/>
                <w:b w:val="0"/>
                <w:sz w:val="18"/>
                <w:szCs w:val="18"/>
              </w:rPr>
              <w:t>Ambient tuna</w:t>
            </w:r>
          </w:p>
        </w:tc>
        <w:tc>
          <w:tcPr>
            <w:tcW w:w="1485" w:type="dxa"/>
            <w:vAlign w:val="center"/>
          </w:tcPr>
          <w:p w14:paraId="467B2EF3" w14:textId="7B816DE7"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949BE">
              <w:rPr>
                <w:rFonts w:ascii="Arial" w:hAnsi="Arial" w:cs="Arial"/>
                <w:color w:val="000000"/>
                <w:sz w:val="18"/>
                <w:szCs w:val="18"/>
              </w:rPr>
              <w:t>$</w:t>
            </w:r>
            <w:r w:rsidR="007417C7">
              <w:rPr>
                <w:rFonts w:ascii="Arial" w:hAnsi="Arial" w:cs="Arial"/>
                <w:color w:val="000000"/>
                <w:sz w:val="18"/>
                <w:szCs w:val="18"/>
              </w:rPr>
              <w:t>204.4</w:t>
            </w:r>
            <w:r w:rsidRPr="002949BE">
              <w:rPr>
                <w:rFonts w:ascii="Arial" w:hAnsi="Arial" w:cs="Arial"/>
                <w:color w:val="000000"/>
                <w:sz w:val="18"/>
                <w:szCs w:val="18"/>
              </w:rPr>
              <w:t>M</w:t>
            </w:r>
          </w:p>
        </w:tc>
        <w:tc>
          <w:tcPr>
            <w:tcW w:w="1485" w:type="dxa"/>
            <w:vAlign w:val="center"/>
          </w:tcPr>
          <w:p w14:paraId="7EC4F086" w14:textId="72C770AF"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5611A">
              <w:rPr>
                <w:rFonts w:ascii="Arial" w:hAnsi="Arial" w:cs="Arial"/>
                <w:color w:val="000000"/>
                <w:sz w:val="18"/>
                <w:szCs w:val="18"/>
              </w:rPr>
              <w:t>+</w:t>
            </w:r>
            <w:r w:rsidR="007417C7">
              <w:rPr>
                <w:rFonts w:ascii="Arial" w:hAnsi="Arial" w:cs="Arial"/>
                <w:color w:val="000000"/>
                <w:sz w:val="18"/>
                <w:szCs w:val="18"/>
              </w:rPr>
              <w:t>13.7</w:t>
            </w:r>
            <w:r w:rsidRPr="0015611A">
              <w:rPr>
                <w:rFonts w:ascii="Arial" w:hAnsi="Arial" w:cs="Arial"/>
                <w:color w:val="000000"/>
                <w:sz w:val="18"/>
                <w:szCs w:val="18"/>
              </w:rPr>
              <w:t>%</w:t>
            </w:r>
          </w:p>
        </w:tc>
        <w:tc>
          <w:tcPr>
            <w:tcW w:w="1485" w:type="dxa"/>
            <w:tcBorders>
              <w:right w:val="single" w:sz="4" w:space="0" w:color="31849B" w:themeColor="accent5" w:themeShade="BF"/>
            </w:tcBorders>
            <w:vAlign w:val="center"/>
          </w:tcPr>
          <w:p w14:paraId="644C331F" w14:textId="2AF08775" w:rsidR="00F82D45" w:rsidRPr="00250D03" w:rsidRDefault="0043175B"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7417C7">
              <w:rPr>
                <w:rFonts w:ascii="Arial" w:hAnsi="Arial" w:cs="Arial"/>
                <w:color w:val="000000"/>
                <w:sz w:val="18"/>
                <w:szCs w:val="18"/>
              </w:rPr>
              <w:t>6.8</w:t>
            </w:r>
            <w:r w:rsidR="00F82D45" w:rsidRPr="00737F19">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5A522292" w14:textId="21BDEA07"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7417C7">
              <w:rPr>
                <w:rFonts w:ascii="Arial" w:hAnsi="Arial" w:cs="Arial"/>
                <w:color w:val="000000"/>
                <w:sz w:val="18"/>
                <w:szCs w:val="18"/>
              </w:rPr>
              <w:t>2.47</w:t>
            </w:r>
            <w:r>
              <w:rPr>
                <w:rFonts w:ascii="Arial" w:hAnsi="Arial" w:cs="Arial"/>
                <w:color w:val="000000"/>
                <w:sz w:val="18"/>
                <w:szCs w:val="18"/>
              </w:rPr>
              <w:t>B</w:t>
            </w:r>
          </w:p>
        </w:tc>
        <w:tc>
          <w:tcPr>
            <w:tcW w:w="1485" w:type="dxa"/>
            <w:vAlign w:val="center"/>
          </w:tcPr>
          <w:p w14:paraId="1C0533FA" w14:textId="0828C84C" w:rsidR="00F82D45" w:rsidRPr="00250D03" w:rsidRDefault="0043175B"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7417C7">
              <w:rPr>
                <w:rFonts w:ascii="Arial" w:hAnsi="Arial" w:cs="Arial"/>
                <w:color w:val="000000"/>
                <w:sz w:val="18"/>
                <w:szCs w:val="18"/>
              </w:rPr>
              <w:t>2.3</w:t>
            </w:r>
            <w:r w:rsidR="00F82D45" w:rsidRPr="00883F62">
              <w:rPr>
                <w:rFonts w:ascii="Arial" w:hAnsi="Arial" w:cs="Arial"/>
                <w:color w:val="000000"/>
                <w:sz w:val="18"/>
                <w:szCs w:val="18"/>
              </w:rPr>
              <w:t>%</w:t>
            </w:r>
          </w:p>
        </w:tc>
        <w:tc>
          <w:tcPr>
            <w:tcW w:w="1485" w:type="dxa"/>
            <w:vAlign w:val="center"/>
          </w:tcPr>
          <w:p w14:paraId="0EA7B7BE" w14:textId="4BBD1E28" w:rsidR="00F82D45" w:rsidRPr="00250D03" w:rsidRDefault="0043175B"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7417C7">
              <w:rPr>
                <w:rFonts w:ascii="Arial" w:hAnsi="Arial" w:cs="Arial"/>
                <w:color w:val="000000"/>
                <w:sz w:val="18"/>
                <w:szCs w:val="18"/>
              </w:rPr>
              <w:t>1.0</w:t>
            </w:r>
            <w:r w:rsidR="00F82D45" w:rsidRPr="00883F62">
              <w:rPr>
                <w:rFonts w:ascii="Arial" w:hAnsi="Arial" w:cs="Arial"/>
                <w:color w:val="000000"/>
                <w:sz w:val="18"/>
                <w:szCs w:val="18"/>
              </w:rPr>
              <w:t>%</w:t>
            </w:r>
          </w:p>
        </w:tc>
      </w:tr>
      <w:tr w:rsidR="00F82D45" w:rsidRPr="00AD60E2" w14:paraId="74D7EA47" w14:textId="77777777" w:rsidTr="0043175B">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F82D45" w:rsidRPr="00250D03" w:rsidRDefault="00F82D45" w:rsidP="00F82D45">
            <w:pPr>
              <w:pStyle w:val="NoSpacing"/>
              <w:rPr>
                <w:rFonts w:ascii="Arial" w:hAnsi="Arial" w:cs="Arial"/>
                <w:b w:val="0"/>
                <w:bCs w:val="0"/>
                <w:sz w:val="18"/>
                <w:szCs w:val="18"/>
              </w:rPr>
            </w:pPr>
            <w:r w:rsidRPr="00250D03">
              <w:rPr>
                <w:rFonts w:ascii="Arial" w:eastAsia="Times New Roman" w:hAnsi="Arial" w:cs="Arial"/>
                <w:b w:val="0"/>
                <w:sz w:val="18"/>
                <w:szCs w:val="18"/>
              </w:rPr>
              <w:t>Ambient sardines</w:t>
            </w:r>
          </w:p>
        </w:tc>
        <w:tc>
          <w:tcPr>
            <w:tcW w:w="1485" w:type="dxa"/>
            <w:vAlign w:val="center"/>
          </w:tcPr>
          <w:p w14:paraId="69E554BA" w14:textId="79FCD19D"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949BE">
              <w:rPr>
                <w:rFonts w:ascii="Arial" w:hAnsi="Arial" w:cs="Arial"/>
                <w:color w:val="000000"/>
                <w:sz w:val="18"/>
                <w:szCs w:val="18"/>
              </w:rPr>
              <w:t>$</w:t>
            </w:r>
            <w:r w:rsidR="007417C7">
              <w:rPr>
                <w:rFonts w:ascii="Arial" w:hAnsi="Arial" w:cs="Arial"/>
                <w:color w:val="000000"/>
                <w:sz w:val="18"/>
                <w:szCs w:val="18"/>
              </w:rPr>
              <w:t>36.3</w:t>
            </w:r>
            <w:r w:rsidRPr="002949BE">
              <w:rPr>
                <w:rFonts w:ascii="Arial" w:hAnsi="Arial" w:cs="Arial"/>
                <w:color w:val="000000"/>
                <w:sz w:val="18"/>
                <w:szCs w:val="18"/>
              </w:rPr>
              <w:t>M</w:t>
            </w:r>
          </w:p>
        </w:tc>
        <w:tc>
          <w:tcPr>
            <w:tcW w:w="1485" w:type="dxa"/>
            <w:vAlign w:val="center"/>
          </w:tcPr>
          <w:p w14:paraId="1DF057C9" w14:textId="4F123364"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7417C7">
              <w:rPr>
                <w:rFonts w:ascii="Arial" w:hAnsi="Arial" w:cs="Arial"/>
                <w:color w:val="000000"/>
                <w:sz w:val="18"/>
                <w:szCs w:val="18"/>
              </w:rPr>
              <w:t>50.2</w:t>
            </w:r>
            <w:r w:rsidRPr="005F3E45">
              <w:rPr>
                <w:rFonts w:ascii="Arial" w:hAnsi="Arial" w:cs="Arial"/>
                <w:color w:val="000000"/>
                <w:sz w:val="18"/>
                <w:szCs w:val="18"/>
              </w:rPr>
              <w:t>%</w:t>
            </w:r>
          </w:p>
        </w:tc>
        <w:tc>
          <w:tcPr>
            <w:tcW w:w="1485" w:type="dxa"/>
            <w:tcBorders>
              <w:right w:val="single" w:sz="4" w:space="0" w:color="31849B" w:themeColor="accent5" w:themeShade="BF"/>
            </w:tcBorders>
            <w:vAlign w:val="center"/>
          </w:tcPr>
          <w:p w14:paraId="2864894C" w14:textId="17B1363B"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7417C7">
              <w:rPr>
                <w:rFonts w:ascii="Arial" w:hAnsi="Arial" w:cs="Arial"/>
                <w:color w:val="000000"/>
                <w:sz w:val="18"/>
                <w:szCs w:val="18"/>
              </w:rPr>
              <w:t>32.5</w:t>
            </w:r>
            <w:r w:rsidRPr="005F3E45">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33F3E2D4" w14:textId="60530872"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5A63">
              <w:rPr>
                <w:rFonts w:ascii="Arial" w:hAnsi="Arial" w:cs="Arial"/>
                <w:color w:val="000000"/>
                <w:sz w:val="18"/>
                <w:szCs w:val="18"/>
              </w:rPr>
              <w:t>$</w:t>
            </w:r>
            <w:r w:rsidR="007417C7">
              <w:rPr>
                <w:rFonts w:ascii="Arial" w:hAnsi="Arial" w:cs="Arial"/>
                <w:color w:val="000000"/>
                <w:sz w:val="18"/>
                <w:szCs w:val="18"/>
              </w:rPr>
              <w:t>379.3</w:t>
            </w:r>
            <w:r w:rsidRPr="00FD5A63">
              <w:rPr>
                <w:rFonts w:ascii="Arial" w:hAnsi="Arial" w:cs="Arial"/>
                <w:color w:val="000000"/>
                <w:sz w:val="18"/>
                <w:szCs w:val="18"/>
              </w:rPr>
              <w:t>M</w:t>
            </w:r>
          </w:p>
        </w:tc>
        <w:tc>
          <w:tcPr>
            <w:tcW w:w="1485" w:type="dxa"/>
            <w:vAlign w:val="center"/>
          </w:tcPr>
          <w:p w14:paraId="2E51BE07" w14:textId="5AEBD84E"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76DD">
              <w:rPr>
                <w:rFonts w:ascii="Arial" w:hAnsi="Arial" w:cs="Arial"/>
                <w:color w:val="000000"/>
                <w:sz w:val="18"/>
                <w:szCs w:val="18"/>
              </w:rPr>
              <w:t>+</w:t>
            </w:r>
            <w:r w:rsidR="007417C7">
              <w:rPr>
                <w:rFonts w:ascii="Arial" w:hAnsi="Arial" w:cs="Arial"/>
                <w:color w:val="000000"/>
                <w:sz w:val="18"/>
                <w:szCs w:val="18"/>
              </w:rPr>
              <w:t>26.3</w:t>
            </w:r>
            <w:r w:rsidRPr="00C676DD">
              <w:rPr>
                <w:rFonts w:ascii="Arial" w:hAnsi="Arial" w:cs="Arial"/>
                <w:color w:val="000000"/>
                <w:sz w:val="18"/>
                <w:szCs w:val="18"/>
              </w:rPr>
              <w:t>%</w:t>
            </w:r>
          </w:p>
        </w:tc>
        <w:tc>
          <w:tcPr>
            <w:tcW w:w="1485" w:type="dxa"/>
            <w:vAlign w:val="center"/>
          </w:tcPr>
          <w:p w14:paraId="10F3D24F" w14:textId="4A80BB21"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83F62">
              <w:rPr>
                <w:rFonts w:ascii="Arial" w:hAnsi="Arial" w:cs="Arial"/>
                <w:color w:val="000000"/>
                <w:sz w:val="18"/>
                <w:szCs w:val="18"/>
              </w:rPr>
              <w:t>+</w:t>
            </w:r>
            <w:r w:rsidR="0043175B">
              <w:rPr>
                <w:rFonts w:ascii="Arial" w:hAnsi="Arial" w:cs="Arial"/>
                <w:color w:val="000000"/>
                <w:sz w:val="18"/>
                <w:szCs w:val="18"/>
              </w:rPr>
              <w:t>1</w:t>
            </w:r>
            <w:r w:rsidR="007417C7">
              <w:rPr>
                <w:rFonts w:ascii="Arial" w:hAnsi="Arial" w:cs="Arial"/>
                <w:color w:val="000000"/>
                <w:sz w:val="18"/>
                <w:szCs w:val="18"/>
              </w:rPr>
              <w:t>8.1</w:t>
            </w:r>
            <w:r w:rsidRPr="00883F62">
              <w:rPr>
                <w:rFonts w:ascii="Arial" w:hAnsi="Arial" w:cs="Arial"/>
                <w:color w:val="000000"/>
                <w:sz w:val="18"/>
                <w:szCs w:val="18"/>
              </w:rPr>
              <w:t>%</w:t>
            </w:r>
          </w:p>
        </w:tc>
      </w:tr>
      <w:tr w:rsidR="00F82D45" w:rsidRPr="00AD60E2" w14:paraId="0A870DB6" w14:textId="77777777" w:rsidTr="0043175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F82D45" w:rsidRPr="00250D03" w:rsidRDefault="00F82D45" w:rsidP="00F82D45">
            <w:pPr>
              <w:pStyle w:val="NoSpacing"/>
              <w:rPr>
                <w:rFonts w:ascii="Arial" w:hAnsi="Arial" w:cs="Arial"/>
                <w:b w:val="0"/>
                <w:bCs w:val="0"/>
                <w:sz w:val="18"/>
                <w:szCs w:val="18"/>
              </w:rPr>
            </w:pPr>
            <w:r w:rsidRPr="00250D03">
              <w:rPr>
                <w:rFonts w:ascii="Arial" w:eastAsia="Times New Roman" w:hAnsi="Arial" w:cs="Arial"/>
                <w:b w:val="0"/>
                <w:sz w:val="18"/>
                <w:szCs w:val="18"/>
              </w:rPr>
              <w:t>Ambient salmon</w:t>
            </w:r>
          </w:p>
        </w:tc>
        <w:tc>
          <w:tcPr>
            <w:tcW w:w="1485" w:type="dxa"/>
            <w:vAlign w:val="center"/>
          </w:tcPr>
          <w:p w14:paraId="2A2643AA" w14:textId="56A57123"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949BE">
              <w:rPr>
                <w:rFonts w:ascii="Arial" w:hAnsi="Arial" w:cs="Arial"/>
                <w:color w:val="000000"/>
                <w:sz w:val="18"/>
                <w:szCs w:val="18"/>
              </w:rPr>
              <w:t>$</w:t>
            </w:r>
            <w:r w:rsidR="007417C7">
              <w:rPr>
                <w:rFonts w:ascii="Arial" w:hAnsi="Arial" w:cs="Arial"/>
                <w:color w:val="000000"/>
                <w:sz w:val="18"/>
                <w:szCs w:val="18"/>
              </w:rPr>
              <w:t>26.4</w:t>
            </w:r>
            <w:r w:rsidRPr="002949BE">
              <w:rPr>
                <w:rFonts w:ascii="Arial" w:hAnsi="Arial" w:cs="Arial"/>
                <w:color w:val="000000"/>
                <w:sz w:val="18"/>
                <w:szCs w:val="18"/>
              </w:rPr>
              <w:t>M</w:t>
            </w:r>
          </w:p>
        </w:tc>
        <w:tc>
          <w:tcPr>
            <w:tcW w:w="1485" w:type="dxa"/>
            <w:vAlign w:val="center"/>
          </w:tcPr>
          <w:p w14:paraId="18FEA342" w14:textId="0F47E5C7"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7417C7">
              <w:rPr>
                <w:rFonts w:ascii="Arial" w:hAnsi="Arial" w:cs="Arial"/>
                <w:color w:val="000000"/>
                <w:sz w:val="18"/>
                <w:szCs w:val="18"/>
              </w:rPr>
              <w:t>12.0</w:t>
            </w:r>
            <w:r w:rsidRPr="005F3E45">
              <w:rPr>
                <w:rFonts w:ascii="Arial" w:hAnsi="Arial" w:cs="Arial"/>
                <w:color w:val="000000"/>
                <w:sz w:val="18"/>
                <w:szCs w:val="18"/>
              </w:rPr>
              <w:t>%</w:t>
            </w:r>
          </w:p>
        </w:tc>
        <w:tc>
          <w:tcPr>
            <w:tcW w:w="1485" w:type="dxa"/>
            <w:tcBorders>
              <w:right w:val="single" w:sz="4" w:space="0" w:color="31849B" w:themeColor="accent5" w:themeShade="BF"/>
            </w:tcBorders>
            <w:vAlign w:val="center"/>
          </w:tcPr>
          <w:p w14:paraId="7BC9CDED" w14:textId="0C0C8464"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7417C7">
              <w:rPr>
                <w:rFonts w:ascii="Arial" w:hAnsi="Arial" w:cs="Arial"/>
                <w:color w:val="000000"/>
                <w:sz w:val="18"/>
                <w:szCs w:val="18"/>
              </w:rPr>
              <w:t>8.8</w:t>
            </w:r>
            <w:r w:rsidRPr="005F3E45">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07EDEAB9" w14:textId="0ABA94BC"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D5A63">
              <w:rPr>
                <w:rFonts w:ascii="Arial" w:hAnsi="Arial" w:cs="Arial"/>
                <w:color w:val="000000"/>
                <w:sz w:val="18"/>
                <w:szCs w:val="18"/>
              </w:rPr>
              <w:t>$</w:t>
            </w:r>
            <w:r w:rsidR="007417C7">
              <w:rPr>
                <w:rFonts w:ascii="Arial" w:hAnsi="Arial" w:cs="Arial"/>
                <w:color w:val="000000"/>
                <w:sz w:val="18"/>
                <w:szCs w:val="18"/>
              </w:rPr>
              <w:t>309.8</w:t>
            </w:r>
            <w:r w:rsidRPr="00FD5A63">
              <w:rPr>
                <w:rFonts w:ascii="Arial" w:hAnsi="Arial" w:cs="Arial"/>
                <w:color w:val="000000"/>
                <w:sz w:val="18"/>
                <w:szCs w:val="18"/>
              </w:rPr>
              <w:t>M</w:t>
            </w:r>
          </w:p>
        </w:tc>
        <w:tc>
          <w:tcPr>
            <w:tcW w:w="1485" w:type="dxa"/>
            <w:vAlign w:val="center"/>
          </w:tcPr>
          <w:p w14:paraId="4D5264CB" w14:textId="1C3E2644"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76DD">
              <w:rPr>
                <w:rFonts w:ascii="Arial" w:hAnsi="Arial" w:cs="Arial"/>
                <w:color w:val="000000"/>
                <w:sz w:val="18"/>
                <w:szCs w:val="18"/>
              </w:rPr>
              <w:t>+</w:t>
            </w:r>
            <w:r w:rsidR="007417C7">
              <w:rPr>
                <w:rFonts w:ascii="Arial" w:hAnsi="Arial" w:cs="Arial"/>
                <w:color w:val="000000"/>
                <w:sz w:val="18"/>
                <w:szCs w:val="18"/>
              </w:rPr>
              <w:t>8.2</w:t>
            </w:r>
            <w:r w:rsidRPr="00C676DD">
              <w:rPr>
                <w:rFonts w:ascii="Arial" w:hAnsi="Arial" w:cs="Arial"/>
                <w:color w:val="000000"/>
                <w:sz w:val="18"/>
                <w:szCs w:val="18"/>
              </w:rPr>
              <w:t>%</w:t>
            </w:r>
          </w:p>
        </w:tc>
        <w:tc>
          <w:tcPr>
            <w:tcW w:w="1485" w:type="dxa"/>
            <w:vAlign w:val="center"/>
          </w:tcPr>
          <w:p w14:paraId="6CF19251" w14:textId="1320B382"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3F62">
              <w:rPr>
                <w:rFonts w:ascii="Arial" w:hAnsi="Arial" w:cs="Arial"/>
                <w:color w:val="000000"/>
                <w:sz w:val="18"/>
                <w:szCs w:val="18"/>
              </w:rPr>
              <w:t>+</w:t>
            </w:r>
            <w:r w:rsidR="007417C7">
              <w:rPr>
                <w:rFonts w:ascii="Arial" w:hAnsi="Arial" w:cs="Arial"/>
                <w:color w:val="000000"/>
                <w:sz w:val="18"/>
                <w:szCs w:val="18"/>
              </w:rPr>
              <w:t>3.0</w:t>
            </w:r>
            <w:r w:rsidRPr="00883F62">
              <w:rPr>
                <w:rFonts w:ascii="Arial" w:hAnsi="Arial" w:cs="Arial"/>
                <w:color w:val="000000"/>
                <w:sz w:val="18"/>
                <w:szCs w:val="18"/>
              </w:rPr>
              <w:t>%</w:t>
            </w:r>
          </w:p>
        </w:tc>
      </w:tr>
      <w:tr w:rsidR="00F82D45" w:rsidRPr="00AD60E2" w14:paraId="0DCD14DB" w14:textId="77777777" w:rsidTr="0043175B">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F82D45" w:rsidRPr="00250D03" w:rsidRDefault="00F82D45" w:rsidP="00F82D45">
            <w:pPr>
              <w:pStyle w:val="NoSpacing"/>
              <w:rPr>
                <w:rFonts w:ascii="Arial" w:hAnsi="Arial" w:cs="Arial"/>
                <w:b w:val="0"/>
                <w:bCs w:val="0"/>
                <w:sz w:val="18"/>
                <w:szCs w:val="18"/>
              </w:rPr>
            </w:pPr>
            <w:r w:rsidRPr="00250D03">
              <w:rPr>
                <w:rFonts w:ascii="Arial" w:eastAsia="Times New Roman" w:hAnsi="Arial" w:cs="Arial"/>
                <w:b w:val="0"/>
                <w:bCs w:val="0"/>
                <w:sz w:val="18"/>
                <w:szCs w:val="18"/>
              </w:rPr>
              <w:t>Ambient all other</w:t>
            </w:r>
          </w:p>
        </w:tc>
        <w:tc>
          <w:tcPr>
            <w:tcW w:w="1485" w:type="dxa"/>
            <w:vAlign w:val="center"/>
          </w:tcPr>
          <w:p w14:paraId="6F3E0385" w14:textId="48084EBF"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949BE">
              <w:rPr>
                <w:rFonts w:ascii="Arial" w:hAnsi="Arial" w:cs="Arial"/>
                <w:color w:val="000000"/>
                <w:sz w:val="18"/>
                <w:szCs w:val="18"/>
              </w:rPr>
              <w:t>$</w:t>
            </w:r>
            <w:r w:rsidR="007417C7">
              <w:rPr>
                <w:rFonts w:ascii="Arial" w:hAnsi="Arial" w:cs="Arial"/>
                <w:color w:val="000000"/>
                <w:sz w:val="18"/>
                <w:szCs w:val="18"/>
              </w:rPr>
              <w:t>25.8</w:t>
            </w:r>
            <w:r w:rsidRPr="002949BE">
              <w:rPr>
                <w:rFonts w:ascii="Arial" w:hAnsi="Arial" w:cs="Arial"/>
                <w:color w:val="000000"/>
                <w:sz w:val="18"/>
                <w:szCs w:val="18"/>
              </w:rPr>
              <w:t>M</w:t>
            </w:r>
          </w:p>
        </w:tc>
        <w:tc>
          <w:tcPr>
            <w:tcW w:w="1485" w:type="dxa"/>
            <w:vAlign w:val="center"/>
          </w:tcPr>
          <w:p w14:paraId="3919FBA1" w14:textId="77DBC418"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7417C7">
              <w:rPr>
                <w:rFonts w:ascii="Arial" w:hAnsi="Arial" w:cs="Arial"/>
                <w:color w:val="000000"/>
                <w:sz w:val="18"/>
                <w:szCs w:val="18"/>
              </w:rPr>
              <w:t>26.7</w:t>
            </w:r>
            <w:r w:rsidRPr="005F3E45">
              <w:rPr>
                <w:rFonts w:ascii="Arial" w:hAnsi="Arial" w:cs="Arial"/>
                <w:color w:val="000000"/>
                <w:sz w:val="18"/>
                <w:szCs w:val="18"/>
              </w:rPr>
              <w:t>%</w:t>
            </w:r>
          </w:p>
        </w:tc>
        <w:tc>
          <w:tcPr>
            <w:tcW w:w="1485" w:type="dxa"/>
            <w:tcBorders>
              <w:right w:val="single" w:sz="4" w:space="0" w:color="31849B" w:themeColor="accent5" w:themeShade="BF"/>
            </w:tcBorders>
            <w:vAlign w:val="center"/>
          </w:tcPr>
          <w:p w14:paraId="34D72223" w14:textId="5F707374"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7417C7">
              <w:rPr>
                <w:rFonts w:ascii="Arial" w:hAnsi="Arial" w:cs="Arial"/>
                <w:color w:val="000000"/>
                <w:sz w:val="18"/>
                <w:szCs w:val="18"/>
              </w:rPr>
              <w:t>1.6</w:t>
            </w:r>
            <w:r w:rsidRPr="005F3E45">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3C45599A" w14:textId="3603E207"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5A63">
              <w:rPr>
                <w:rFonts w:ascii="Arial" w:hAnsi="Arial" w:cs="Arial"/>
                <w:color w:val="000000"/>
                <w:sz w:val="18"/>
                <w:szCs w:val="18"/>
              </w:rPr>
              <w:t>$</w:t>
            </w:r>
            <w:r w:rsidR="007417C7">
              <w:rPr>
                <w:rFonts w:ascii="Arial" w:hAnsi="Arial" w:cs="Arial"/>
                <w:color w:val="000000"/>
                <w:sz w:val="18"/>
                <w:szCs w:val="18"/>
              </w:rPr>
              <w:t>297.1</w:t>
            </w:r>
            <w:r w:rsidRPr="00FD5A63">
              <w:rPr>
                <w:rFonts w:ascii="Arial" w:hAnsi="Arial" w:cs="Arial"/>
                <w:color w:val="000000"/>
                <w:sz w:val="18"/>
                <w:szCs w:val="18"/>
              </w:rPr>
              <w:t>M</w:t>
            </w:r>
          </w:p>
        </w:tc>
        <w:tc>
          <w:tcPr>
            <w:tcW w:w="1485" w:type="dxa"/>
            <w:vAlign w:val="center"/>
          </w:tcPr>
          <w:p w14:paraId="4B8B4E53" w14:textId="3CCE143B"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76DD">
              <w:rPr>
                <w:rFonts w:ascii="Arial" w:hAnsi="Arial" w:cs="Arial"/>
                <w:color w:val="000000"/>
                <w:sz w:val="18"/>
                <w:szCs w:val="18"/>
              </w:rPr>
              <w:t>+</w:t>
            </w:r>
            <w:r w:rsidR="007417C7">
              <w:rPr>
                <w:rFonts w:ascii="Arial" w:hAnsi="Arial" w:cs="Arial"/>
                <w:color w:val="000000"/>
                <w:sz w:val="18"/>
                <w:szCs w:val="18"/>
              </w:rPr>
              <w:t>6.6</w:t>
            </w:r>
            <w:r w:rsidRPr="00C676DD">
              <w:rPr>
                <w:rFonts w:ascii="Arial" w:hAnsi="Arial" w:cs="Arial"/>
                <w:color w:val="000000"/>
                <w:sz w:val="18"/>
                <w:szCs w:val="18"/>
              </w:rPr>
              <w:t>%</w:t>
            </w:r>
          </w:p>
        </w:tc>
        <w:tc>
          <w:tcPr>
            <w:tcW w:w="1485" w:type="dxa"/>
            <w:vAlign w:val="center"/>
          </w:tcPr>
          <w:p w14:paraId="3A4896C7" w14:textId="7A575583"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43175B">
              <w:rPr>
                <w:rFonts w:ascii="Arial" w:hAnsi="Arial" w:cs="Arial"/>
                <w:color w:val="000000"/>
                <w:sz w:val="18"/>
                <w:szCs w:val="18"/>
              </w:rPr>
              <w:t>0.</w:t>
            </w:r>
            <w:r w:rsidR="007417C7">
              <w:rPr>
                <w:rFonts w:ascii="Arial" w:hAnsi="Arial" w:cs="Arial"/>
                <w:color w:val="000000"/>
                <w:sz w:val="18"/>
                <w:szCs w:val="18"/>
              </w:rPr>
              <w:t>4</w:t>
            </w:r>
            <w:r w:rsidRPr="00883F62">
              <w:rPr>
                <w:rFonts w:ascii="Arial" w:hAnsi="Arial" w:cs="Arial"/>
                <w:color w:val="000000"/>
                <w:sz w:val="18"/>
                <w:szCs w:val="18"/>
              </w:rPr>
              <w:t>%</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Circana, Integrated Fresh, Total US, </w:t>
      </w:r>
      <w:r w:rsidR="00534629">
        <w:rPr>
          <w:rFonts w:ascii="Arial" w:hAnsi="Arial" w:cs="Arial"/>
          <w:color w:val="7F7F7F" w:themeColor="text1" w:themeTint="80"/>
          <w:sz w:val="16"/>
          <w:szCs w:val="16"/>
        </w:rPr>
        <w:t>MULO+</w:t>
      </w:r>
    </w:p>
    <w:bookmarkEnd w:id="7"/>
    <w:p w14:paraId="1CA16E77" w14:textId="77777777" w:rsidR="00C75C35" w:rsidRDefault="00C75C35" w:rsidP="00CD6192">
      <w:pPr>
        <w:spacing w:after="0"/>
        <w:rPr>
          <w:rFonts w:ascii="Arial" w:hAnsi="Arial" w:cs="Arial"/>
          <w:b/>
          <w:color w:val="00857C"/>
          <w:sz w:val="24"/>
          <w:szCs w:val="20"/>
        </w:rPr>
      </w:pPr>
    </w:p>
    <w:p w14:paraId="78020F43" w14:textId="591F30D6"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8105C"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8105C"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8105C" w:rsidRPr="00A94364" w:rsidRDefault="0008105C"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8105C"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8105C"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8105C" w:rsidRPr="00A94364" w:rsidRDefault="0008105C"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06980F21" w:rsidR="001445C0" w:rsidRDefault="006008B5"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 xml:space="preserve">Fresh (refrigerated) seafood grew 8.9% in dollars and pounds in February 2026 compared to year-ago levels. February’s strong, though Lent-impacted performance, positively impacted the full-year view as well. Finfish continued to be the stronger performer in dollars, with shellfish pounds increasing 12.2% year-over-year in February.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75C35"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75C35" w:rsidRPr="00A80540" w:rsidRDefault="00C75C35" w:rsidP="00C75C35">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7E47322F" w:rsidR="00C75C35" w:rsidRPr="00A80540" w:rsidRDefault="006A6067" w:rsidP="006008B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February 2026</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72DD2471" w:rsidR="00C75C35" w:rsidRPr="00A80540" w:rsidRDefault="00C75C35" w:rsidP="006008B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r>
      <w:tr w:rsidR="00992897" w:rsidRPr="00F15260" w14:paraId="544E1763" w14:textId="77777777" w:rsidTr="00F82D45">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992897" w:rsidRPr="00250D03" w:rsidRDefault="00992897" w:rsidP="00992897">
            <w:pPr>
              <w:pStyle w:val="NoSpacing"/>
              <w:rPr>
                <w:rFonts w:ascii="Arial" w:hAnsi="Arial" w:cs="Arial"/>
                <w:color w:val="000000" w:themeColor="text1"/>
                <w:sz w:val="18"/>
                <w:szCs w:val="18"/>
              </w:rPr>
            </w:pPr>
            <w:r w:rsidRPr="00250D03">
              <w:rPr>
                <w:rFonts w:ascii="Arial" w:eastAsia="Times New Roman" w:hAnsi="Arial" w:cs="Arial"/>
                <w:color w:val="000000" w:themeColor="text1"/>
                <w:sz w:val="18"/>
                <w:szCs w:val="18"/>
              </w:rPr>
              <w:t>Total fresh seafood</w:t>
            </w:r>
          </w:p>
        </w:tc>
        <w:tc>
          <w:tcPr>
            <w:tcW w:w="1305" w:type="dxa"/>
            <w:vAlign w:val="bottom"/>
          </w:tcPr>
          <w:p w14:paraId="008C175F" w14:textId="52268426" w:rsidR="00992897"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6008B5">
              <w:rPr>
                <w:rFonts w:ascii="Arial" w:hAnsi="Arial" w:cs="Arial"/>
                <w:color w:val="000000"/>
                <w:sz w:val="18"/>
                <w:szCs w:val="18"/>
              </w:rPr>
              <w:t>729.0</w:t>
            </w:r>
            <w:r>
              <w:rPr>
                <w:rFonts w:ascii="Arial" w:hAnsi="Arial" w:cs="Arial"/>
                <w:color w:val="000000"/>
                <w:sz w:val="18"/>
                <w:szCs w:val="18"/>
              </w:rPr>
              <w:t>M</w:t>
            </w:r>
          </w:p>
        </w:tc>
        <w:tc>
          <w:tcPr>
            <w:tcW w:w="1485" w:type="dxa"/>
          </w:tcPr>
          <w:p w14:paraId="19694FA3" w14:textId="17100FC9" w:rsidR="00992897" w:rsidRPr="00250D03" w:rsidRDefault="00BA7A86"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6008B5">
              <w:rPr>
                <w:rFonts w:ascii="Arial" w:hAnsi="Arial" w:cs="Arial"/>
                <w:color w:val="000000"/>
                <w:sz w:val="18"/>
                <w:szCs w:val="18"/>
              </w:rPr>
              <w:t>8.9</w:t>
            </w:r>
            <w:r w:rsidR="00992897" w:rsidRPr="00685502">
              <w:rPr>
                <w:rFonts w:ascii="Arial" w:hAnsi="Arial" w:cs="Arial"/>
                <w:color w:val="000000"/>
                <w:sz w:val="18"/>
                <w:szCs w:val="18"/>
              </w:rPr>
              <w:t>%</w:t>
            </w:r>
          </w:p>
        </w:tc>
        <w:tc>
          <w:tcPr>
            <w:tcW w:w="1485" w:type="dxa"/>
            <w:gridSpan w:val="2"/>
            <w:tcBorders>
              <w:right w:val="single" w:sz="4" w:space="0" w:color="17365D" w:themeColor="text2" w:themeShade="BF"/>
            </w:tcBorders>
          </w:tcPr>
          <w:p w14:paraId="7820D590" w14:textId="0AA81A4B" w:rsidR="00992897" w:rsidRPr="00250D03" w:rsidRDefault="006008B5"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+8.9</w:t>
            </w:r>
            <w:r w:rsidR="00992897" w:rsidRPr="00685502">
              <w:rPr>
                <w:rFonts w:ascii="Arial" w:hAnsi="Arial" w:cs="Arial"/>
                <w:color w:val="000000"/>
                <w:sz w:val="18"/>
                <w:szCs w:val="18"/>
              </w:rPr>
              <w:t>%</w:t>
            </w:r>
          </w:p>
        </w:tc>
        <w:tc>
          <w:tcPr>
            <w:tcW w:w="1305" w:type="dxa"/>
            <w:tcBorders>
              <w:left w:val="single" w:sz="4" w:space="0" w:color="17365D" w:themeColor="text2" w:themeShade="BF"/>
            </w:tcBorders>
            <w:vAlign w:val="bottom"/>
          </w:tcPr>
          <w:p w14:paraId="1EADE73E" w14:textId="6A4380CD" w:rsidR="00992897"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587DE4">
              <w:rPr>
                <w:rFonts w:ascii="Arial" w:hAnsi="Arial" w:cs="Arial"/>
                <w:color w:val="000000"/>
                <w:sz w:val="18"/>
                <w:szCs w:val="18"/>
              </w:rPr>
              <w:t>8.72</w:t>
            </w:r>
            <w:r>
              <w:rPr>
                <w:rFonts w:ascii="Arial" w:hAnsi="Arial" w:cs="Arial"/>
                <w:color w:val="000000"/>
                <w:sz w:val="18"/>
                <w:szCs w:val="18"/>
              </w:rPr>
              <w:t>B</w:t>
            </w:r>
          </w:p>
        </w:tc>
        <w:tc>
          <w:tcPr>
            <w:tcW w:w="1665" w:type="dxa"/>
          </w:tcPr>
          <w:p w14:paraId="108D0361" w14:textId="37B3663E" w:rsidR="00992897"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4120A">
              <w:rPr>
                <w:rFonts w:ascii="Arial" w:hAnsi="Arial" w:cs="Arial"/>
                <w:color w:val="000000"/>
                <w:sz w:val="18"/>
                <w:szCs w:val="18"/>
              </w:rPr>
              <w:t>+</w:t>
            </w:r>
            <w:r w:rsidR="00587DE4">
              <w:rPr>
                <w:rFonts w:ascii="Arial" w:hAnsi="Arial" w:cs="Arial"/>
                <w:color w:val="000000"/>
                <w:sz w:val="18"/>
                <w:szCs w:val="18"/>
              </w:rPr>
              <w:t>2</w:t>
            </w:r>
            <w:r w:rsidR="00BA7A86">
              <w:rPr>
                <w:rFonts w:ascii="Arial" w:hAnsi="Arial" w:cs="Arial"/>
                <w:color w:val="000000"/>
                <w:sz w:val="18"/>
                <w:szCs w:val="18"/>
              </w:rPr>
              <w:t>.8</w:t>
            </w:r>
            <w:r w:rsidRPr="0014120A">
              <w:rPr>
                <w:rFonts w:ascii="Arial" w:hAnsi="Arial" w:cs="Arial"/>
                <w:color w:val="000000"/>
                <w:sz w:val="18"/>
                <w:szCs w:val="18"/>
              </w:rPr>
              <w:t>%</w:t>
            </w:r>
          </w:p>
        </w:tc>
        <w:tc>
          <w:tcPr>
            <w:tcW w:w="1486" w:type="dxa"/>
          </w:tcPr>
          <w:p w14:paraId="0CC74927" w14:textId="20E8E9ED" w:rsidR="00992897" w:rsidRPr="00250D03" w:rsidRDefault="00587DE4"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+0.8</w:t>
            </w:r>
            <w:r w:rsidR="00992897" w:rsidRPr="0014120A">
              <w:rPr>
                <w:rFonts w:ascii="Arial" w:hAnsi="Arial" w:cs="Arial"/>
                <w:color w:val="000000"/>
                <w:sz w:val="18"/>
                <w:szCs w:val="18"/>
              </w:rPr>
              <w:t>%</w:t>
            </w:r>
          </w:p>
        </w:tc>
      </w:tr>
      <w:tr w:rsidR="00992897" w:rsidRPr="00F15260" w14:paraId="26343E00" w14:textId="77777777" w:rsidTr="00F82D4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992897" w:rsidRPr="00250D03" w:rsidRDefault="00992897" w:rsidP="00992897">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vAlign w:val="bottom"/>
          </w:tcPr>
          <w:p w14:paraId="1245A996" w14:textId="43040312"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8B5">
              <w:rPr>
                <w:rFonts w:ascii="Arial" w:hAnsi="Arial" w:cs="Arial"/>
                <w:color w:val="000000"/>
                <w:sz w:val="18"/>
                <w:szCs w:val="18"/>
              </w:rPr>
              <w:t>483.6</w:t>
            </w:r>
            <w:r>
              <w:rPr>
                <w:rFonts w:ascii="Arial" w:hAnsi="Arial" w:cs="Arial"/>
                <w:color w:val="000000"/>
                <w:sz w:val="18"/>
                <w:szCs w:val="18"/>
              </w:rPr>
              <w:t>M</w:t>
            </w:r>
          </w:p>
        </w:tc>
        <w:tc>
          <w:tcPr>
            <w:tcW w:w="1485" w:type="dxa"/>
            <w:shd w:val="clear" w:color="auto" w:fill="D9D9D9" w:themeFill="background1" w:themeFillShade="D9"/>
          </w:tcPr>
          <w:p w14:paraId="1587A913" w14:textId="6B235329"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85502">
              <w:rPr>
                <w:rFonts w:ascii="Arial" w:hAnsi="Arial" w:cs="Arial"/>
                <w:color w:val="000000"/>
                <w:sz w:val="18"/>
                <w:szCs w:val="18"/>
              </w:rPr>
              <w:t>+</w:t>
            </w:r>
            <w:r w:rsidR="006008B5">
              <w:rPr>
                <w:rFonts w:ascii="Arial" w:hAnsi="Arial" w:cs="Arial"/>
                <w:color w:val="000000"/>
                <w:sz w:val="18"/>
                <w:szCs w:val="18"/>
              </w:rPr>
              <w:t>9.6</w:t>
            </w:r>
            <w:r w:rsidRPr="00685502">
              <w:rPr>
                <w:rFonts w:ascii="Arial" w:hAnsi="Arial" w:cs="Arial"/>
                <w:color w:val="000000"/>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106DFF9E" w14:textId="4DBEFE0C"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85502">
              <w:rPr>
                <w:rFonts w:ascii="Arial" w:hAnsi="Arial" w:cs="Arial"/>
                <w:color w:val="000000"/>
                <w:sz w:val="18"/>
                <w:szCs w:val="18"/>
              </w:rPr>
              <w:t>+</w:t>
            </w:r>
            <w:r w:rsidR="006008B5">
              <w:rPr>
                <w:rFonts w:ascii="Arial" w:hAnsi="Arial" w:cs="Arial"/>
                <w:color w:val="000000"/>
                <w:sz w:val="18"/>
                <w:szCs w:val="18"/>
              </w:rPr>
              <w:t>7.9</w:t>
            </w:r>
            <w:r w:rsidRPr="00685502">
              <w:rPr>
                <w:rFonts w:ascii="Arial" w:hAnsi="Arial" w:cs="Arial"/>
                <w:color w:val="000000"/>
                <w:sz w:val="18"/>
                <w:szCs w:val="18"/>
              </w:rPr>
              <w:t>%</w:t>
            </w:r>
          </w:p>
        </w:tc>
        <w:tc>
          <w:tcPr>
            <w:tcW w:w="1305" w:type="dxa"/>
            <w:tcBorders>
              <w:left w:val="single" w:sz="4" w:space="0" w:color="17365D" w:themeColor="text2" w:themeShade="BF"/>
            </w:tcBorders>
            <w:shd w:val="clear" w:color="auto" w:fill="D9D9D9" w:themeFill="background1" w:themeFillShade="D9"/>
            <w:vAlign w:val="bottom"/>
          </w:tcPr>
          <w:p w14:paraId="66F40F56" w14:textId="093FE9C0"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87DE4">
              <w:rPr>
                <w:rFonts w:ascii="Arial" w:hAnsi="Arial" w:cs="Arial"/>
                <w:color w:val="000000"/>
                <w:sz w:val="18"/>
                <w:szCs w:val="18"/>
              </w:rPr>
              <w:t>5.86</w:t>
            </w:r>
            <w:r>
              <w:rPr>
                <w:rFonts w:ascii="Arial" w:hAnsi="Arial" w:cs="Arial"/>
                <w:color w:val="000000"/>
                <w:sz w:val="18"/>
                <w:szCs w:val="18"/>
              </w:rPr>
              <w:t>B</w:t>
            </w:r>
          </w:p>
        </w:tc>
        <w:tc>
          <w:tcPr>
            <w:tcW w:w="1665" w:type="dxa"/>
            <w:shd w:val="clear" w:color="auto" w:fill="D9D9D9" w:themeFill="background1" w:themeFillShade="D9"/>
          </w:tcPr>
          <w:p w14:paraId="3BFD4643" w14:textId="68E2592A"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4120A">
              <w:rPr>
                <w:rFonts w:ascii="Arial" w:hAnsi="Arial" w:cs="Arial"/>
                <w:color w:val="000000"/>
                <w:sz w:val="18"/>
                <w:szCs w:val="18"/>
              </w:rPr>
              <w:t>+</w:t>
            </w:r>
            <w:r w:rsidR="00BA7A86">
              <w:rPr>
                <w:rFonts w:ascii="Arial" w:hAnsi="Arial" w:cs="Arial"/>
                <w:color w:val="000000"/>
                <w:sz w:val="18"/>
                <w:szCs w:val="18"/>
              </w:rPr>
              <w:t>5.</w:t>
            </w:r>
            <w:r w:rsidR="00587DE4">
              <w:rPr>
                <w:rFonts w:ascii="Arial" w:hAnsi="Arial" w:cs="Arial"/>
                <w:color w:val="000000"/>
                <w:sz w:val="18"/>
                <w:szCs w:val="18"/>
              </w:rPr>
              <w:t>8</w:t>
            </w:r>
            <w:r w:rsidRPr="0014120A">
              <w:rPr>
                <w:rFonts w:ascii="Arial" w:hAnsi="Arial" w:cs="Arial"/>
                <w:color w:val="000000"/>
                <w:sz w:val="18"/>
                <w:szCs w:val="18"/>
              </w:rPr>
              <w:t>%</w:t>
            </w:r>
          </w:p>
        </w:tc>
        <w:tc>
          <w:tcPr>
            <w:tcW w:w="1486" w:type="dxa"/>
            <w:shd w:val="clear" w:color="auto" w:fill="D9D9D9" w:themeFill="background1" w:themeFillShade="D9"/>
          </w:tcPr>
          <w:p w14:paraId="7E7D4104" w14:textId="01EF4A70"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4120A">
              <w:rPr>
                <w:rFonts w:ascii="Arial" w:hAnsi="Arial" w:cs="Arial"/>
                <w:color w:val="000000"/>
                <w:sz w:val="18"/>
                <w:szCs w:val="18"/>
              </w:rPr>
              <w:t>+</w:t>
            </w:r>
            <w:r w:rsidR="00587DE4">
              <w:rPr>
                <w:rFonts w:ascii="Arial" w:hAnsi="Arial" w:cs="Arial"/>
                <w:color w:val="000000"/>
                <w:sz w:val="18"/>
                <w:szCs w:val="18"/>
              </w:rPr>
              <w:t>5.2</w:t>
            </w:r>
            <w:r w:rsidRPr="0014120A">
              <w:rPr>
                <w:rFonts w:ascii="Arial" w:hAnsi="Arial" w:cs="Arial"/>
                <w:color w:val="000000"/>
                <w:sz w:val="18"/>
                <w:szCs w:val="18"/>
              </w:rPr>
              <w:t>%</w:t>
            </w:r>
          </w:p>
        </w:tc>
      </w:tr>
      <w:tr w:rsidR="00250D03" w:rsidRPr="00F15260" w14:paraId="009F29AD" w14:textId="77777777" w:rsidTr="001A30AF">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250D03" w:rsidRPr="00250D03" w:rsidRDefault="00250D03" w:rsidP="00250D03">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shellfish</w:t>
            </w:r>
          </w:p>
        </w:tc>
        <w:tc>
          <w:tcPr>
            <w:tcW w:w="1305" w:type="dxa"/>
            <w:vAlign w:val="bottom"/>
          </w:tcPr>
          <w:p w14:paraId="277CE7F0" w14:textId="58C97071" w:rsidR="00250D03"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008B5">
              <w:rPr>
                <w:rFonts w:ascii="Arial" w:hAnsi="Arial" w:cs="Arial"/>
                <w:color w:val="000000"/>
                <w:sz w:val="18"/>
                <w:szCs w:val="18"/>
              </w:rPr>
              <w:t>210.9</w:t>
            </w:r>
            <w:r w:rsidR="00250D03">
              <w:rPr>
                <w:rFonts w:ascii="Arial" w:hAnsi="Arial" w:cs="Arial"/>
                <w:color w:val="000000"/>
                <w:sz w:val="18"/>
                <w:szCs w:val="18"/>
              </w:rPr>
              <w:t>M</w:t>
            </w:r>
          </w:p>
        </w:tc>
        <w:tc>
          <w:tcPr>
            <w:tcW w:w="1485" w:type="dxa"/>
            <w:vAlign w:val="bottom"/>
          </w:tcPr>
          <w:p w14:paraId="7DDAAAA4" w14:textId="0A028313" w:rsidR="00250D03" w:rsidRPr="00250D03" w:rsidRDefault="006008B5"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+9.0</w:t>
            </w:r>
            <w:r w:rsidR="00250D03" w:rsidRPr="00250D03">
              <w:rPr>
                <w:rFonts w:ascii="Arial" w:hAnsi="Arial" w:cs="Arial"/>
                <w:color w:val="000000"/>
                <w:sz w:val="18"/>
                <w:szCs w:val="18"/>
              </w:rPr>
              <w:t>%</w:t>
            </w:r>
          </w:p>
        </w:tc>
        <w:tc>
          <w:tcPr>
            <w:tcW w:w="1485" w:type="dxa"/>
            <w:gridSpan w:val="2"/>
            <w:tcBorders>
              <w:right w:val="single" w:sz="4" w:space="0" w:color="17365D" w:themeColor="text2" w:themeShade="BF"/>
            </w:tcBorders>
            <w:vAlign w:val="bottom"/>
          </w:tcPr>
          <w:p w14:paraId="48D14838" w14:textId="04FC20EF" w:rsidR="00250D03" w:rsidRPr="00250D03" w:rsidRDefault="006008B5"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+12.2</w:t>
            </w:r>
            <w:r w:rsidR="00250D03" w:rsidRPr="00250D03">
              <w:rPr>
                <w:rFonts w:ascii="Arial" w:hAnsi="Arial" w:cs="Arial"/>
                <w:color w:val="000000"/>
                <w:sz w:val="18"/>
                <w:szCs w:val="18"/>
              </w:rPr>
              <w:t>%</w:t>
            </w:r>
          </w:p>
        </w:tc>
        <w:tc>
          <w:tcPr>
            <w:tcW w:w="1305" w:type="dxa"/>
            <w:tcBorders>
              <w:left w:val="single" w:sz="4" w:space="0" w:color="17365D" w:themeColor="text2" w:themeShade="BF"/>
            </w:tcBorders>
            <w:vAlign w:val="bottom"/>
          </w:tcPr>
          <w:p w14:paraId="1FCC62E3" w14:textId="6ABDC38A" w:rsidR="00250D03"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87DE4">
              <w:rPr>
                <w:rFonts w:ascii="Arial" w:hAnsi="Arial" w:cs="Arial"/>
                <w:color w:val="000000"/>
                <w:sz w:val="18"/>
                <w:szCs w:val="18"/>
              </w:rPr>
              <w:t>2.43</w:t>
            </w:r>
            <w:r w:rsidR="00250D03">
              <w:rPr>
                <w:rFonts w:ascii="Arial" w:hAnsi="Arial" w:cs="Arial"/>
                <w:color w:val="000000"/>
                <w:sz w:val="18"/>
                <w:szCs w:val="18"/>
              </w:rPr>
              <w:t>B</w:t>
            </w:r>
          </w:p>
        </w:tc>
        <w:tc>
          <w:tcPr>
            <w:tcW w:w="1665" w:type="dxa"/>
            <w:vAlign w:val="bottom"/>
          </w:tcPr>
          <w:p w14:paraId="7EFA706F" w14:textId="27A73C7A" w:rsidR="00250D03"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87DE4">
              <w:rPr>
                <w:rFonts w:ascii="Arial" w:hAnsi="Arial" w:cs="Arial"/>
                <w:color w:val="000000"/>
                <w:sz w:val="18"/>
                <w:szCs w:val="18"/>
              </w:rPr>
              <w:t>3.1</w:t>
            </w:r>
            <w:r w:rsidR="00250D03" w:rsidRPr="00250D03">
              <w:rPr>
                <w:rFonts w:ascii="Arial" w:hAnsi="Arial" w:cs="Arial"/>
                <w:color w:val="000000"/>
                <w:sz w:val="18"/>
                <w:szCs w:val="18"/>
              </w:rPr>
              <w:t>%</w:t>
            </w:r>
          </w:p>
        </w:tc>
        <w:tc>
          <w:tcPr>
            <w:tcW w:w="1486" w:type="dxa"/>
            <w:vAlign w:val="bottom"/>
          </w:tcPr>
          <w:p w14:paraId="68B84796" w14:textId="008BFA56" w:rsidR="00250D03"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87DE4">
              <w:rPr>
                <w:rFonts w:ascii="Arial" w:hAnsi="Arial" w:cs="Arial"/>
                <w:color w:val="000000"/>
                <w:sz w:val="18"/>
                <w:szCs w:val="18"/>
              </w:rPr>
              <w:t>7.3</w:t>
            </w:r>
            <w:r w:rsidR="00250D03" w:rsidRPr="00250D03">
              <w:rPr>
                <w:rFonts w:ascii="Arial" w:hAnsi="Arial" w:cs="Arial"/>
                <w:color w:val="000000"/>
                <w:sz w:val="18"/>
                <w:szCs w:val="18"/>
              </w:rPr>
              <w:t>%</w:t>
            </w:r>
          </w:p>
        </w:tc>
      </w:tr>
    </w:tbl>
    <w:p w14:paraId="6A89C80D" w14:textId="77777777" w:rsidR="00150F85" w:rsidRPr="00150F85" w:rsidRDefault="00150F85" w:rsidP="00CD6192">
      <w:pPr>
        <w:pStyle w:val="NoSpacing"/>
        <w:rPr>
          <w:rFonts w:ascii="Arial" w:hAnsi="Arial" w:cs="Arial"/>
          <w:color w:val="7F7F7F" w:themeColor="text1" w:themeTint="80"/>
          <w:sz w:val="4"/>
          <w:szCs w:val="4"/>
        </w:rPr>
      </w:pPr>
    </w:p>
    <w:p w14:paraId="46C53BBE" w14:textId="0D49FD5E" w:rsidR="00CD6192"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r w:rsidR="007A44BE" w:rsidRPr="00E61F90">
        <w:rPr>
          <w:rFonts w:ascii="Arial" w:hAnsi="Arial" w:cs="Arial"/>
          <w:color w:val="7F7F7F" w:themeColor="text1" w:themeTint="80"/>
          <w:sz w:val="16"/>
          <w:szCs w:val="16"/>
        </w:rPr>
        <w:t>Circana</w:t>
      </w:r>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229E3509" w14:textId="77777777" w:rsidR="00CB5D1F" w:rsidRPr="00CB5D1F" w:rsidRDefault="00CB5D1F" w:rsidP="00CD6192">
      <w:pPr>
        <w:pStyle w:val="NoSpacing"/>
        <w:rPr>
          <w:rFonts w:ascii="Arial" w:hAnsi="Arial" w:cs="Arial"/>
          <w:color w:val="7F7F7F" w:themeColor="text1" w:themeTint="80"/>
          <w:sz w:val="10"/>
          <w:szCs w:val="10"/>
        </w:rPr>
      </w:pPr>
    </w:p>
    <w:p w14:paraId="37FC9313" w14:textId="77777777" w:rsidR="006008B5" w:rsidRDefault="006008B5" w:rsidP="009F1921">
      <w:pPr>
        <w:pStyle w:val="NoSpacing"/>
        <w:rPr>
          <w:rFonts w:ascii="Arial" w:hAnsi="Arial" w:cs="Arial"/>
          <w:bCs/>
          <w:color w:val="000000" w:themeColor="text1"/>
          <w:sz w:val="20"/>
          <w:szCs w:val="16"/>
        </w:rPr>
      </w:pPr>
    </w:p>
    <w:p w14:paraId="7A8F79FD" w14:textId="4B7DE665" w:rsidR="009F1921" w:rsidRPr="006008B5" w:rsidRDefault="006008B5" w:rsidP="009F1921">
      <w:pPr>
        <w:pStyle w:val="NoSpacing"/>
        <w:rPr>
          <w:rFonts w:ascii="Arial" w:hAnsi="Arial" w:cs="Arial"/>
          <w:sz w:val="18"/>
          <w:szCs w:val="18"/>
        </w:rPr>
      </w:pPr>
      <w:r>
        <w:rPr>
          <w:rFonts w:ascii="Arial" w:hAnsi="Arial" w:cs="Arial"/>
          <w:bCs/>
          <w:color w:val="000000" w:themeColor="text1"/>
          <w:sz w:val="20"/>
          <w:szCs w:val="16"/>
        </w:rPr>
        <w:t xml:space="preserve">After a slow start of the year, February fresh finfish sales picked up pace. Dollar gains reached their highest levels in years as did pound growth. However, it is important to note the impact of Lent-affected weeks going up against everyday demand weeks in 2025. </w:t>
      </w:r>
    </w:p>
    <w:p w14:paraId="1B8976D1" w14:textId="527409FD" w:rsidR="009F1921" w:rsidRPr="006008B5" w:rsidRDefault="009F1921" w:rsidP="001445C0">
      <w:pPr>
        <w:pStyle w:val="NoSpacing"/>
        <w:rPr>
          <w:rFonts w:ascii="Arial" w:hAnsi="Arial" w:cs="Arial"/>
          <w:sz w:val="18"/>
          <w:szCs w:val="18"/>
        </w:rPr>
      </w:pPr>
      <w:r w:rsidRPr="006008B5">
        <w:rPr>
          <w:noProof/>
          <w:sz w:val="20"/>
          <w:szCs w:val="20"/>
          <w:lang w:val="nl-NL" w:eastAsia="nl-NL"/>
        </w:rPr>
        <mc:AlternateContent>
          <mc:Choice Requires="wps">
            <w:drawing>
              <wp:anchor distT="0" distB="0" distL="114300" distR="114300" simplePos="0" relativeHeight="251691008" behindDoc="0" locked="0" layoutInCell="1" allowOverlap="1" wp14:anchorId="01CBEC34" wp14:editId="0CD4DAF6">
                <wp:simplePos x="0" y="0"/>
                <wp:positionH relativeFrom="margin">
                  <wp:posOffset>63500</wp:posOffset>
                </wp:positionH>
                <wp:positionV relativeFrom="paragraph">
                  <wp:posOffset>2529205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08105C" w:rsidRPr="003225B0" w:rsidRDefault="0008105C"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08105C" w:rsidRPr="003225B0" w:rsidRDefault="0008105C"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5pt;margin-top:199.15pt;width:204.1pt;height:16.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kfLw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" fillcolor="white [3201]" stroked="f" strokeweight=".5pt">
                <v:textbox>
                  <w:txbxContent>
                    <w:p w14:paraId="2E582057" w14:textId="77777777" w:rsidR="0008105C" w:rsidRPr="003225B0" w:rsidRDefault="0008105C"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08105C" w:rsidRPr="003225B0" w:rsidRDefault="0008105C" w:rsidP="00F81649">
                      <w:pPr>
                        <w:rPr>
                          <w:color w:val="595959" w:themeColor="text1" w:themeTint="A6"/>
                        </w:rPr>
                      </w:pPr>
                    </w:p>
                  </w:txbxContent>
                </v:textbox>
                <w10:wrap anchorx="margin"/>
              </v:shape>
            </w:pict>
          </mc:Fallback>
        </mc:AlternateContent>
      </w:r>
      <w:r w:rsidRPr="006008B5">
        <w:rPr>
          <w:rFonts w:ascii="Arial" w:hAnsi="Arial" w:cs="Arial"/>
          <w:bCs/>
          <w:noProof/>
          <w:color w:val="660066"/>
          <w:sz w:val="18"/>
          <w:szCs w:val="14"/>
          <w:shd w:val="clear" w:color="auto" w:fill="00B0F0"/>
          <w:lang w:val="nl-NL" w:eastAsia="nl-NL"/>
        </w:rPr>
        <w:drawing>
          <wp:anchor distT="0" distB="0" distL="114300" distR="114300" simplePos="0" relativeHeight="251688960" behindDoc="1" locked="0" layoutInCell="1" allowOverlap="1" wp14:anchorId="2FA710A4" wp14:editId="24C978BD">
            <wp:simplePos x="0" y="0"/>
            <wp:positionH relativeFrom="margin">
              <wp:posOffset>-44450</wp:posOffset>
            </wp:positionH>
            <wp:positionV relativeFrom="paragraph">
              <wp:posOffset>176530</wp:posOffset>
            </wp:positionV>
            <wp:extent cx="6675120" cy="2671445"/>
            <wp:effectExtent l="0" t="0" r="0" b="0"/>
            <wp:wrapTight wrapText="bothSides">
              <wp:wrapPolygon edited="0">
                <wp:start x="0" y="0"/>
                <wp:lineTo x="0" y="21410"/>
                <wp:lineTo x="21514" y="21410"/>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29146A62" w14:textId="158C1BD2" w:rsidR="009F1921" w:rsidRDefault="00436786"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82303" behindDoc="0" locked="0" layoutInCell="1" allowOverlap="1" wp14:anchorId="4B2FEF61" wp14:editId="1E854814">
                <wp:simplePos x="0" y="0"/>
                <wp:positionH relativeFrom="margin">
                  <wp:align>right</wp:align>
                </wp:positionH>
                <wp:positionV relativeFrom="paragraph">
                  <wp:posOffset>5747937</wp:posOffset>
                </wp:positionV>
                <wp:extent cx="2592070" cy="214630"/>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070" cy="214630"/>
                        </a:xfrm>
                        <a:prstGeom prst="rect">
                          <a:avLst/>
                        </a:prstGeom>
                        <a:solidFill>
                          <a:schemeClr val="lt1"/>
                        </a:solidFill>
                        <a:ln w="6350">
                          <a:noFill/>
                        </a:ln>
                      </wps:spPr>
                      <wps:txbx>
                        <w:txbxContent>
                          <w:p w14:paraId="0F4E3802" w14:textId="068BFA89" w:rsidR="0008105C" w:rsidRPr="003225B0" w:rsidRDefault="0008105C"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8105C" w:rsidRPr="003225B0" w:rsidRDefault="0008105C"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152.9pt;margin-top:452.6pt;width:204.1pt;height:16.9pt;z-index:251682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" fillcolor="white [3201]" stroked="f" strokeweight=".5pt">
                <v:textbox>
                  <w:txbxContent>
                    <w:p w14:paraId="0F4E3802" w14:textId="068BFA89" w:rsidR="0008105C" w:rsidRPr="003225B0" w:rsidRDefault="0008105C"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8105C" w:rsidRPr="003225B0" w:rsidRDefault="0008105C" w:rsidP="003225B0">
                      <w:pPr>
                        <w:rPr>
                          <w:color w:val="595959" w:themeColor="text1" w:themeTint="A6"/>
                        </w:rPr>
                      </w:pPr>
                    </w:p>
                  </w:txbxContent>
                </v:textbox>
                <w10:wrap anchorx="margin"/>
              </v:shape>
            </w:pict>
          </mc:Fallback>
        </mc:AlternateContent>
      </w:r>
      <w:r w:rsidRPr="00C230D2">
        <w:rPr>
          <w:rFonts w:ascii="Arial" w:hAnsi="Arial" w:cs="Arial"/>
          <w:bCs/>
          <w:noProof/>
          <w:color w:val="660066"/>
          <w:sz w:val="20"/>
          <w:szCs w:val="16"/>
          <w:lang w:val="nl-NL" w:eastAsia="nl-NL"/>
        </w:rPr>
        <w:drawing>
          <wp:anchor distT="0" distB="0" distL="114300" distR="114300" simplePos="0" relativeHeight="251692032" behindDoc="0" locked="0" layoutInCell="1" allowOverlap="1" wp14:anchorId="352AF376" wp14:editId="57B39AF6">
            <wp:simplePos x="0" y="0"/>
            <wp:positionH relativeFrom="margin">
              <wp:align>right</wp:align>
            </wp:positionH>
            <wp:positionV relativeFrom="paragraph">
              <wp:posOffset>3146950</wp:posOffset>
            </wp:positionV>
            <wp:extent cx="6750685" cy="2734945"/>
            <wp:effectExtent l="0" t="0" r="0" b="0"/>
            <wp:wrapSquare wrapText="bothSides"/>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rFonts w:ascii="Arial" w:hAnsi="Arial" w:cs="Arial"/>
          <w:sz w:val="20"/>
          <w:szCs w:val="20"/>
        </w:rPr>
        <w:t>S</w:t>
      </w:r>
      <w:r w:rsidR="00FF2D5F">
        <w:rPr>
          <w:rFonts w:ascii="Arial" w:hAnsi="Arial" w:cs="Arial"/>
          <w:sz w:val="20"/>
          <w:szCs w:val="20"/>
        </w:rPr>
        <w:t>hellfish</w:t>
      </w:r>
      <w:r>
        <w:rPr>
          <w:rFonts w:ascii="Arial" w:hAnsi="Arial" w:cs="Arial"/>
          <w:sz w:val="20"/>
          <w:szCs w:val="20"/>
        </w:rPr>
        <w:t xml:space="preserve"> pound sales have been trending in the negative since the start of 2024, with an average decline of eight to 10 percentage points year-over-year for each of the 2025 quarters.</w:t>
      </w:r>
      <w:r w:rsidR="004C3BFD">
        <w:rPr>
          <w:rFonts w:ascii="Arial" w:hAnsi="Arial" w:cs="Arial"/>
          <w:sz w:val="20"/>
          <w:szCs w:val="20"/>
        </w:rPr>
        <w:t xml:space="preserve"> February was a huge exception due the timing of Lent.</w:t>
      </w:r>
    </w:p>
    <w:p w14:paraId="018AD182" w14:textId="5AFB9293" w:rsidR="006F697A" w:rsidRPr="009F1921" w:rsidRDefault="006F697A" w:rsidP="001445C0">
      <w:pPr>
        <w:pStyle w:val="NoSpacing"/>
        <w:rPr>
          <w:rFonts w:ascii="Arial" w:hAnsi="Arial" w:cs="Arial"/>
          <w:bCs/>
          <w:color w:val="000000" w:themeColor="text1"/>
          <w:sz w:val="20"/>
          <w:szCs w:val="16"/>
        </w:rPr>
      </w:pPr>
    </w:p>
    <w:p w14:paraId="1AAFA0F8" w14:textId="77777777" w:rsidR="009A4E52" w:rsidRDefault="009A4E52" w:rsidP="004970F6">
      <w:pPr>
        <w:pStyle w:val="NoSpacing"/>
        <w:rPr>
          <w:rFonts w:ascii="Arial" w:hAnsi="Arial" w:cs="Arial"/>
          <w:b/>
          <w:color w:val="00857C"/>
          <w:sz w:val="24"/>
          <w:szCs w:val="20"/>
        </w:rPr>
      </w:pPr>
    </w:p>
    <w:p w14:paraId="0D100CAD" w14:textId="7BF25D45"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4E92DD46" w14:textId="6DE92F44" w:rsidR="00FF2D5F" w:rsidRDefault="002C7B87" w:rsidP="00113D91">
      <w:pPr>
        <w:pStyle w:val="NoSpacing"/>
        <w:rPr>
          <w:rFonts w:ascii="Arial" w:hAnsi="Arial" w:cs="Arial"/>
          <w:color w:val="000000" w:themeColor="text1"/>
          <w:sz w:val="20"/>
          <w:szCs w:val="20"/>
        </w:rPr>
      </w:pPr>
      <w:r>
        <w:rPr>
          <w:rFonts w:ascii="Arial" w:hAnsi="Arial" w:cs="Arial"/>
          <w:color w:val="000000" w:themeColor="text1"/>
          <w:sz w:val="20"/>
          <w:szCs w:val="20"/>
        </w:rPr>
        <w:t xml:space="preserve">Salmon continued to dominate at the species level, reaching $341 million in February sales. Fresh shrimp was a distant second with February sales of $81 million. All top eight fresh seafood species gained in dollars and pounds, with the lone exception of cod. Cod’s double-digit inflation may have dampened consumer demand, with pounds falling 3.5% behind February 2025 levels. </w:t>
      </w:r>
    </w:p>
    <w:p w14:paraId="354EB623" w14:textId="77777777" w:rsidR="00113D91" w:rsidRDefault="00113D91" w:rsidP="00113D91">
      <w:pPr>
        <w:pStyle w:val="NoSpacing"/>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75C35"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0B28C1FE" w:rsidR="00C75C35" w:rsidRPr="00A80540" w:rsidRDefault="00C75C35" w:rsidP="00C75C35">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6F5BB054" w:rsidR="00C75C35" w:rsidRPr="00A80540" w:rsidRDefault="006A6067"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February 2026</w:t>
            </w:r>
          </w:p>
        </w:tc>
        <w:tc>
          <w:tcPr>
            <w:tcW w:w="4320" w:type="dxa"/>
            <w:gridSpan w:val="3"/>
            <w:tcBorders>
              <w:left w:val="nil"/>
            </w:tcBorders>
            <w:shd w:val="clear" w:color="auto" w:fill="17365D" w:themeFill="text2" w:themeFillShade="BF"/>
          </w:tcPr>
          <w:p w14:paraId="11D6C429" w14:textId="224221A2"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C16EFD" w:rsidRPr="00B86F96" w14:paraId="16F40298" w14:textId="77777777" w:rsidTr="00181739">
        <w:trPr>
          <w:trHeight w:val="1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4C9B0328" w14:textId="1B17A3DB" w:rsidR="00C16EFD" w:rsidRPr="00110DFD" w:rsidRDefault="00C16EFD" w:rsidP="00C16EFD">
            <w:pPr>
              <w:pStyle w:val="NoSpacing"/>
              <w:rPr>
                <w:rFonts w:ascii="Arial" w:hAnsi="Arial" w:cs="Arial"/>
                <w:color w:val="000000" w:themeColor="text1"/>
                <w:sz w:val="18"/>
                <w:szCs w:val="18"/>
              </w:rPr>
            </w:pPr>
            <w:r w:rsidRPr="00250D03">
              <w:rPr>
                <w:rFonts w:ascii="Arial" w:eastAsia="Times New Roman" w:hAnsi="Arial" w:cs="Arial"/>
                <w:color w:val="000000" w:themeColor="text1"/>
                <w:sz w:val="18"/>
                <w:szCs w:val="18"/>
              </w:rPr>
              <w:t>Total fresh seafood</w:t>
            </w:r>
          </w:p>
        </w:tc>
        <w:tc>
          <w:tcPr>
            <w:tcW w:w="1305" w:type="dxa"/>
            <w:vAlign w:val="bottom"/>
          </w:tcPr>
          <w:p w14:paraId="71D4E4BA" w14:textId="115B4108" w:rsidR="00C16EFD" w:rsidRPr="00110DFD" w:rsidRDefault="00C16EFD" w:rsidP="00C16E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$729.0M</w:t>
            </w:r>
          </w:p>
        </w:tc>
        <w:tc>
          <w:tcPr>
            <w:tcW w:w="1485" w:type="dxa"/>
          </w:tcPr>
          <w:p w14:paraId="0F57B38D" w14:textId="000B7FF7" w:rsidR="00C16EFD" w:rsidRPr="00110DFD" w:rsidRDefault="00C16EFD" w:rsidP="00C16E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+8.9</w:t>
            </w:r>
            <w:r w:rsidRPr="00685502">
              <w:rPr>
                <w:rFonts w:ascii="Arial" w:hAnsi="Arial" w:cs="Arial"/>
                <w:color w:val="000000"/>
                <w:sz w:val="18"/>
                <w:szCs w:val="18"/>
              </w:rPr>
              <w:t>%</w:t>
            </w:r>
          </w:p>
        </w:tc>
        <w:tc>
          <w:tcPr>
            <w:tcW w:w="1485" w:type="dxa"/>
            <w:tcBorders>
              <w:right w:val="single" w:sz="4" w:space="0" w:color="auto"/>
            </w:tcBorders>
          </w:tcPr>
          <w:p w14:paraId="328FE4FE" w14:textId="22ED0261" w:rsidR="00C16EFD" w:rsidRPr="00110DFD" w:rsidRDefault="00C16EFD" w:rsidP="00C16E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+8.9</w:t>
            </w:r>
            <w:r w:rsidRPr="00685502">
              <w:rPr>
                <w:rFonts w:ascii="Arial" w:hAnsi="Arial" w:cs="Arial"/>
                <w:color w:val="000000"/>
                <w:sz w:val="18"/>
                <w:szCs w:val="18"/>
              </w:rPr>
              <w:t>%</w:t>
            </w:r>
          </w:p>
        </w:tc>
        <w:tc>
          <w:tcPr>
            <w:tcW w:w="1485" w:type="dxa"/>
            <w:gridSpan w:val="2"/>
            <w:tcBorders>
              <w:left w:val="single" w:sz="4" w:space="0" w:color="auto"/>
            </w:tcBorders>
            <w:vAlign w:val="bottom"/>
          </w:tcPr>
          <w:p w14:paraId="5550A3A9" w14:textId="667C7A02" w:rsidR="00C16EFD" w:rsidRPr="00110DFD" w:rsidRDefault="00C16EFD" w:rsidP="00C16E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$8.72B</w:t>
            </w:r>
          </w:p>
        </w:tc>
        <w:tc>
          <w:tcPr>
            <w:tcW w:w="1485" w:type="dxa"/>
          </w:tcPr>
          <w:p w14:paraId="11A37DDD" w14:textId="49FE7A72" w:rsidR="00C16EFD" w:rsidRPr="00110DFD" w:rsidRDefault="00C16EFD" w:rsidP="00C16E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4120A">
              <w:rPr>
                <w:rFonts w:ascii="Arial" w:hAnsi="Arial" w:cs="Arial"/>
                <w:color w:val="000000"/>
                <w:sz w:val="18"/>
                <w:szCs w:val="18"/>
              </w:rPr>
              <w:t>+</w:t>
            </w:r>
            <w:r>
              <w:rPr>
                <w:rFonts w:ascii="Arial" w:hAnsi="Arial" w:cs="Arial"/>
                <w:color w:val="000000"/>
                <w:sz w:val="18"/>
                <w:szCs w:val="18"/>
              </w:rPr>
              <w:t>2.8</w:t>
            </w:r>
            <w:r w:rsidRPr="0014120A">
              <w:rPr>
                <w:rFonts w:ascii="Arial" w:hAnsi="Arial" w:cs="Arial"/>
                <w:color w:val="000000"/>
                <w:sz w:val="18"/>
                <w:szCs w:val="18"/>
              </w:rPr>
              <w:t>%</w:t>
            </w:r>
          </w:p>
        </w:tc>
        <w:tc>
          <w:tcPr>
            <w:tcW w:w="1395" w:type="dxa"/>
          </w:tcPr>
          <w:p w14:paraId="4820373D" w14:textId="665E6020" w:rsidR="00C16EFD" w:rsidRPr="00110DFD" w:rsidRDefault="00C16EFD" w:rsidP="00C16E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+0.8</w:t>
            </w:r>
            <w:r w:rsidRPr="0014120A">
              <w:rPr>
                <w:rFonts w:ascii="Arial" w:hAnsi="Arial" w:cs="Arial"/>
                <w:color w:val="000000"/>
                <w:sz w:val="18"/>
                <w:szCs w:val="18"/>
              </w:rPr>
              <w:t>%</w:t>
            </w:r>
          </w:p>
        </w:tc>
      </w:tr>
      <w:tr w:rsidR="00F82D45" w:rsidRPr="00F15260" w14:paraId="53921754" w14:textId="77777777" w:rsidTr="00F82D4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F82D45" w:rsidRPr="00110DFD" w:rsidRDefault="00F82D45" w:rsidP="00F82D45">
            <w:pPr>
              <w:pStyle w:val="NoSpacing"/>
              <w:rPr>
                <w:rFonts w:ascii="Arial" w:hAnsi="Arial" w:cs="Arial"/>
                <w:b w:val="0"/>
                <w:bCs w:val="0"/>
                <w:color w:val="000000" w:themeColor="text1"/>
                <w:sz w:val="18"/>
                <w:szCs w:val="18"/>
              </w:rPr>
            </w:pPr>
            <w:r w:rsidRPr="00110DFD">
              <w:rPr>
                <w:rFonts w:ascii="Arial" w:eastAsia="Times New Roman" w:hAnsi="Arial" w:cs="Arial"/>
                <w:b w:val="0"/>
                <w:color w:val="000000" w:themeColor="text1"/>
                <w:sz w:val="18"/>
                <w:szCs w:val="18"/>
              </w:rPr>
              <w:t>Salmon</w:t>
            </w:r>
          </w:p>
        </w:tc>
        <w:tc>
          <w:tcPr>
            <w:tcW w:w="1305" w:type="dxa"/>
          </w:tcPr>
          <w:p w14:paraId="646CFFE0" w14:textId="398E4541"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16EFD">
              <w:rPr>
                <w:rFonts w:ascii="Arial" w:hAnsi="Arial" w:cs="Arial"/>
                <w:color w:val="000000"/>
                <w:sz w:val="18"/>
                <w:szCs w:val="18"/>
              </w:rPr>
              <w:t>340.5</w:t>
            </w:r>
            <w:r w:rsidRPr="00B911BA">
              <w:rPr>
                <w:rFonts w:ascii="Arial" w:hAnsi="Arial" w:cs="Arial"/>
                <w:color w:val="000000"/>
                <w:sz w:val="18"/>
                <w:szCs w:val="18"/>
              </w:rPr>
              <w:t>M</w:t>
            </w:r>
          </w:p>
        </w:tc>
        <w:tc>
          <w:tcPr>
            <w:tcW w:w="1485" w:type="dxa"/>
            <w:vAlign w:val="bottom"/>
          </w:tcPr>
          <w:p w14:paraId="44A1328E" w14:textId="49E2E20C"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16EFD">
              <w:rPr>
                <w:rFonts w:ascii="Arial" w:hAnsi="Arial" w:cs="Arial"/>
                <w:color w:val="000000"/>
                <w:sz w:val="18"/>
                <w:szCs w:val="18"/>
              </w:rPr>
              <w:t>9.6</w:t>
            </w:r>
            <w:r w:rsidRPr="00110DFD">
              <w:rPr>
                <w:rFonts w:ascii="Arial" w:hAnsi="Arial" w:cs="Arial"/>
                <w:color w:val="000000"/>
                <w:sz w:val="18"/>
                <w:szCs w:val="18"/>
              </w:rPr>
              <w:t>%</w:t>
            </w:r>
          </w:p>
        </w:tc>
        <w:tc>
          <w:tcPr>
            <w:tcW w:w="1485" w:type="dxa"/>
            <w:tcBorders>
              <w:right w:val="single" w:sz="4" w:space="0" w:color="auto"/>
            </w:tcBorders>
            <w:vAlign w:val="bottom"/>
          </w:tcPr>
          <w:p w14:paraId="771D46ED" w14:textId="7BFAAF5E"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16EFD">
              <w:rPr>
                <w:rFonts w:ascii="Arial" w:hAnsi="Arial" w:cs="Arial"/>
                <w:color w:val="000000"/>
                <w:sz w:val="18"/>
                <w:szCs w:val="18"/>
              </w:rPr>
              <w:t>8.9</w:t>
            </w:r>
            <w:r w:rsidRPr="00110DFD">
              <w:rPr>
                <w:rFonts w:ascii="Arial" w:hAnsi="Arial" w:cs="Arial"/>
                <w:color w:val="000000"/>
                <w:sz w:val="18"/>
                <w:szCs w:val="18"/>
              </w:rPr>
              <w:t>%</w:t>
            </w:r>
          </w:p>
        </w:tc>
        <w:tc>
          <w:tcPr>
            <w:tcW w:w="1485" w:type="dxa"/>
            <w:gridSpan w:val="2"/>
            <w:tcBorders>
              <w:left w:val="single" w:sz="4" w:space="0" w:color="auto"/>
            </w:tcBorders>
            <w:vAlign w:val="bottom"/>
          </w:tcPr>
          <w:p w14:paraId="3936EE08" w14:textId="603BFED4"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4.1</w:t>
            </w:r>
            <w:r w:rsidR="00113D91">
              <w:rPr>
                <w:rFonts w:ascii="Arial" w:hAnsi="Arial" w:cs="Arial"/>
                <w:color w:val="000000"/>
                <w:sz w:val="18"/>
                <w:szCs w:val="18"/>
              </w:rPr>
              <w:t>5</w:t>
            </w:r>
            <w:r>
              <w:rPr>
                <w:rFonts w:ascii="Arial" w:hAnsi="Arial" w:cs="Arial"/>
                <w:color w:val="000000"/>
                <w:sz w:val="18"/>
                <w:szCs w:val="18"/>
              </w:rPr>
              <w:t>B</w:t>
            </w:r>
          </w:p>
        </w:tc>
        <w:tc>
          <w:tcPr>
            <w:tcW w:w="1485" w:type="dxa"/>
          </w:tcPr>
          <w:p w14:paraId="0B566D2B" w14:textId="79F5437F"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661C">
              <w:rPr>
                <w:rFonts w:ascii="Arial" w:hAnsi="Arial" w:cs="Arial"/>
                <w:color w:val="000000"/>
                <w:sz w:val="18"/>
                <w:szCs w:val="18"/>
              </w:rPr>
              <w:t>+</w:t>
            </w:r>
            <w:r w:rsidR="001E070B">
              <w:rPr>
                <w:rFonts w:ascii="Arial" w:hAnsi="Arial" w:cs="Arial"/>
                <w:color w:val="000000"/>
                <w:sz w:val="18"/>
                <w:szCs w:val="18"/>
              </w:rPr>
              <w:t>5.</w:t>
            </w:r>
            <w:r w:rsidR="00113D91">
              <w:rPr>
                <w:rFonts w:ascii="Arial" w:hAnsi="Arial" w:cs="Arial"/>
                <w:color w:val="000000"/>
                <w:sz w:val="18"/>
                <w:szCs w:val="18"/>
              </w:rPr>
              <w:t>8</w:t>
            </w:r>
            <w:r w:rsidRPr="0070661C">
              <w:rPr>
                <w:rFonts w:ascii="Arial" w:hAnsi="Arial" w:cs="Arial"/>
                <w:color w:val="000000"/>
                <w:sz w:val="18"/>
                <w:szCs w:val="18"/>
              </w:rPr>
              <w:t>%</w:t>
            </w:r>
          </w:p>
        </w:tc>
        <w:tc>
          <w:tcPr>
            <w:tcW w:w="1395" w:type="dxa"/>
            <w:vAlign w:val="bottom"/>
          </w:tcPr>
          <w:p w14:paraId="0DA6D04F" w14:textId="2C1516CC"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3D91">
              <w:rPr>
                <w:rFonts w:ascii="Arial" w:hAnsi="Arial" w:cs="Arial"/>
                <w:color w:val="000000"/>
                <w:sz w:val="18"/>
                <w:szCs w:val="18"/>
              </w:rPr>
              <w:t>4.1</w:t>
            </w:r>
            <w:r w:rsidRPr="00110DFD">
              <w:rPr>
                <w:rFonts w:ascii="Arial" w:hAnsi="Arial" w:cs="Arial"/>
                <w:color w:val="000000"/>
                <w:sz w:val="18"/>
                <w:szCs w:val="18"/>
              </w:rPr>
              <w:t>%</w:t>
            </w:r>
          </w:p>
        </w:tc>
      </w:tr>
      <w:tr w:rsidR="001E070B" w:rsidRPr="00F15260" w14:paraId="4DE47A61" w14:textId="77777777" w:rsidTr="00EC4640">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50AD35F" w14:textId="77777777" w:rsidR="001E070B" w:rsidRPr="00110DFD" w:rsidRDefault="001E070B" w:rsidP="00EC4640">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Shrimp</w:t>
            </w:r>
          </w:p>
        </w:tc>
        <w:tc>
          <w:tcPr>
            <w:tcW w:w="1305" w:type="dxa"/>
          </w:tcPr>
          <w:p w14:paraId="0B5B8921" w14:textId="6538DE1A" w:rsidR="001E070B" w:rsidRPr="00110DFD" w:rsidRDefault="001E070B"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16EFD">
              <w:rPr>
                <w:rFonts w:ascii="Arial" w:hAnsi="Arial" w:cs="Arial"/>
                <w:color w:val="000000"/>
                <w:sz w:val="18"/>
                <w:szCs w:val="18"/>
              </w:rPr>
              <w:t>80.9</w:t>
            </w:r>
            <w:r w:rsidRPr="00B911BA">
              <w:rPr>
                <w:rFonts w:ascii="Arial" w:hAnsi="Arial" w:cs="Arial"/>
                <w:color w:val="000000"/>
                <w:sz w:val="18"/>
                <w:szCs w:val="18"/>
              </w:rPr>
              <w:t>M</w:t>
            </w:r>
          </w:p>
        </w:tc>
        <w:tc>
          <w:tcPr>
            <w:tcW w:w="1485" w:type="dxa"/>
            <w:vAlign w:val="bottom"/>
          </w:tcPr>
          <w:p w14:paraId="51A87182" w14:textId="4C977E29" w:rsidR="001E070B" w:rsidRPr="00110DFD" w:rsidRDefault="00C16EFD"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+14.4</w:t>
            </w:r>
            <w:r w:rsidR="001E070B" w:rsidRPr="00110DFD">
              <w:rPr>
                <w:rFonts w:ascii="Arial" w:hAnsi="Arial" w:cs="Arial"/>
                <w:color w:val="000000"/>
                <w:sz w:val="18"/>
                <w:szCs w:val="18"/>
              </w:rPr>
              <w:t>%</w:t>
            </w:r>
          </w:p>
        </w:tc>
        <w:tc>
          <w:tcPr>
            <w:tcW w:w="1485" w:type="dxa"/>
            <w:tcBorders>
              <w:right w:val="single" w:sz="4" w:space="0" w:color="auto"/>
            </w:tcBorders>
            <w:vAlign w:val="bottom"/>
          </w:tcPr>
          <w:p w14:paraId="46175CBF" w14:textId="1BB8CB0B" w:rsidR="001E070B" w:rsidRPr="00110DFD" w:rsidRDefault="00C16EFD"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+15.5</w:t>
            </w:r>
            <w:r w:rsidR="001E070B" w:rsidRPr="00110DFD">
              <w:rPr>
                <w:rFonts w:ascii="Arial" w:hAnsi="Arial" w:cs="Arial"/>
                <w:color w:val="000000"/>
                <w:sz w:val="18"/>
                <w:szCs w:val="18"/>
              </w:rPr>
              <w:t>%</w:t>
            </w:r>
          </w:p>
        </w:tc>
        <w:tc>
          <w:tcPr>
            <w:tcW w:w="1485" w:type="dxa"/>
            <w:gridSpan w:val="2"/>
            <w:tcBorders>
              <w:left w:val="single" w:sz="4" w:space="0" w:color="auto"/>
            </w:tcBorders>
          </w:tcPr>
          <w:p w14:paraId="094DE109" w14:textId="0B367CF6" w:rsidR="001E070B" w:rsidRPr="00110DFD" w:rsidRDefault="001E070B"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13D91">
              <w:rPr>
                <w:rFonts w:ascii="Arial" w:hAnsi="Arial" w:cs="Arial"/>
                <w:color w:val="000000"/>
                <w:sz w:val="18"/>
                <w:szCs w:val="18"/>
              </w:rPr>
              <w:t>939.7</w:t>
            </w:r>
            <w:r w:rsidRPr="00B47251">
              <w:rPr>
                <w:rFonts w:ascii="Arial" w:hAnsi="Arial" w:cs="Arial"/>
                <w:color w:val="000000"/>
                <w:sz w:val="18"/>
                <w:szCs w:val="18"/>
              </w:rPr>
              <w:t>M</w:t>
            </w:r>
          </w:p>
        </w:tc>
        <w:tc>
          <w:tcPr>
            <w:tcW w:w="1485" w:type="dxa"/>
          </w:tcPr>
          <w:p w14:paraId="0BBEBAFD" w14:textId="6127300E" w:rsidR="001E070B" w:rsidRPr="00110DFD" w:rsidRDefault="001E070B"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0661C">
              <w:rPr>
                <w:rFonts w:ascii="Arial" w:hAnsi="Arial" w:cs="Arial"/>
                <w:color w:val="000000"/>
                <w:sz w:val="18"/>
                <w:szCs w:val="18"/>
              </w:rPr>
              <w:t>+</w:t>
            </w:r>
            <w:r>
              <w:rPr>
                <w:rFonts w:ascii="Arial" w:hAnsi="Arial" w:cs="Arial"/>
                <w:color w:val="000000"/>
                <w:sz w:val="18"/>
                <w:szCs w:val="18"/>
              </w:rPr>
              <w:t>5.</w:t>
            </w:r>
            <w:r w:rsidR="00113D91">
              <w:rPr>
                <w:rFonts w:ascii="Arial" w:hAnsi="Arial" w:cs="Arial"/>
                <w:color w:val="000000"/>
                <w:sz w:val="18"/>
                <w:szCs w:val="18"/>
              </w:rPr>
              <w:t>7</w:t>
            </w:r>
            <w:r w:rsidRPr="0070661C">
              <w:rPr>
                <w:rFonts w:ascii="Arial" w:hAnsi="Arial" w:cs="Arial"/>
                <w:color w:val="000000"/>
                <w:sz w:val="18"/>
                <w:szCs w:val="18"/>
              </w:rPr>
              <w:t>%</w:t>
            </w:r>
          </w:p>
        </w:tc>
        <w:tc>
          <w:tcPr>
            <w:tcW w:w="1395" w:type="dxa"/>
            <w:vAlign w:val="bottom"/>
          </w:tcPr>
          <w:p w14:paraId="2F182F8A" w14:textId="23B492D3" w:rsidR="001E070B" w:rsidRPr="00110DFD" w:rsidRDefault="00113D91"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-2.4</w:t>
            </w:r>
            <w:r w:rsidR="001E070B" w:rsidRPr="00110DFD">
              <w:rPr>
                <w:rFonts w:ascii="Arial" w:hAnsi="Arial" w:cs="Arial"/>
                <w:color w:val="000000"/>
                <w:sz w:val="18"/>
                <w:szCs w:val="18"/>
              </w:rPr>
              <w:t>%</w:t>
            </w:r>
          </w:p>
        </w:tc>
      </w:tr>
      <w:tr w:rsidR="00F82D45" w:rsidRPr="00F15260" w14:paraId="0DE7CFA5" w14:textId="77777777" w:rsidTr="00F82D45">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90" w:type="dxa"/>
          </w:tcPr>
          <w:p w14:paraId="0FA2F5BA" w14:textId="77777777" w:rsidR="00F82D45" w:rsidRPr="00110DFD" w:rsidRDefault="00F82D45" w:rsidP="00F82D45">
            <w:pPr>
              <w:pStyle w:val="NoSpacing"/>
              <w:rPr>
                <w:rFonts w:ascii="Arial" w:hAnsi="Arial" w:cs="Arial"/>
                <w:b w:val="0"/>
                <w:bCs w:val="0"/>
                <w:color w:val="000000" w:themeColor="text1"/>
                <w:sz w:val="18"/>
                <w:szCs w:val="18"/>
              </w:rPr>
            </w:pPr>
            <w:r w:rsidRPr="00110DFD">
              <w:rPr>
                <w:rFonts w:ascii="Arial" w:eastAsia="Times New Roman" w:hAnsi="Arial" w:cs="Arial"/>
                <w:b w:val="0"/>
                <w:color w:val="000000" w:themeColor="text1"/>
                <w:sz w:val="18"/>
                <w:szCs w:val="18"/>
              </w:rPr>
              <w:t>Crab</w:t>
            </w:r>
          </w:p>
        </w:tc>
        <w:tc>
          <w:tcPr>
            <w:tcW w:w="1305" w:type="dxa"/>
          </w:tcPr>
          <w:p w14:paraId="79B9AC78" w14:textId="7941B52D"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16EFD">
              <w:rPr>
                <w:rFonts w:ascii="Arial" w:hAnsi="Arial" w:cs="Arial"/>
                <w:color w:val="000000"/>
                <w:sz w:val="18"/>
                <w:szCs w:val="18"/>
              </w:rPr>
              <w:t>71.9</w:t>
            </w:r>
            <w:r w:rsidRPr="00B911BA">
              <w:rPr>
                <w:rFonts w:ascii="Arial" w:hAnsi="Arial" w:cs="Arial"/>
                <w:color w:val="000000"/>
                <w:sz w:val="18"/>
                <w:szCs w:val="18"/>
              </w:rPr>
              <w:t>M</w:t>
            </w:r>
          </w:p>
        </w:tc>
        <w:tc>
          <w:tcPr>
            <w:tcW w:w="1485" w:type="dxa"/>
            <w:vAlign w:val="bottom"/>
          </w:tcPr>
          <w:p w14:paraId="631A77DF" w14:textId="65DCDDE4" w:rsidR="00F82D45" w:rsidRPr="00110DFD" w:rsidRDefault="00C16EFD"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+7.6</w:t>
            </w:r>
            <w:r w:rsidR="00F82D45" w:rsidRPr="00110DFD">
              <w:rPr>
                <w:rFonts w:ascii="Arial" w:hAnsi="Arial" w:cs="Arial"/>
                <w:color w:val="000000"/>
                <w:sz w:val="18"/>
                <w:szCs w:val="18"/>
              </w:rPr>
              <w:t>%</w:t>
            </w:r>
          </w:p>
        </w:tc>
        <w:tc>
          <w:tcPr>
            <w:tcW w:w="1485" w:type="dxa"/>
            <w:tcBorders>
              <w:right w:val="single" w:sz="4" w:space="0" w:color="auto"/>
            </w:tcBorders>
            <w:vAlign w:val="bottom"/>
          </w:tcPr>
          <w:p w14:paraId="09757EA8" w14:textId="56D2FA4A" w:rsidR="00F82D45" w:rsidRPr="00110DFD" w:rsidRDefault="00C16EFD"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+0.7</w:t>
            </w:r>
            <w:r w:rsidR="00F82D45" w:rsidRPr="00110DFD">
              <w:rPr>
                <w:rFonts w:ascii="Arial" w:hAnsi="Arial" w:cs="Arial"/>
                <w:color w:val="000000"/>
                <w:sz w:val="18"/>
                <w:szCs w:val="18"/>
              </w:rPr>
              <w:t>%</w:t>
            </w:r>
          </w:p>
        </w:tc>
        <w:tc>
          <w:tcPr>
            <w:tcW w:w="1485" w:type="dxa"/>
            <w:gridSpan w:val="2"/>
            <w:tcBorders>
              <w:left w:val="single" w:sz="4" w:space="0" w:color="auto"/>
            </w:tcBorders>
          </w:tcPr>
          <w:p w14:paraId="7B88A1EF" w14:textId="6D166DDA"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13D91">
              <w:rPr>
                <w:rFonts w:ascii="Arial" w:hAnsi="Arial" w:cs="Arial"/>
                <w:color w:val="000000"/>
                <w:sz w:val="18"/>
                <w:szCs w:val="18"/>
              </w:rPr>
              <w:t>870.1</w:t>
            </w:r>
            <w:r w:rsidRPr="00B47251">
              <w:rPr>
                <w:rFonts w:ascii="Arial" w:hAnsi="Arial" w:cs="Arial"/>
                <w:color w:val="000000"/>
                <w:sz w:val="18"/>
                <w:szCs w:val="18"/>
              </w:rPr>
              <w:t>M</w:t>
            </w:r>
          </w:p>
        </w:tc>
        <w:tc>
          <w:tcPr>
            <w:tcW w:w="1485" w:type="dxa"/>
            <w:vAlign w:val="bottom"/>
          </w:tcPr>
          <w:p w14:paraId="43B942CA" w14:textId="7F5CA5EC"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3D91">
              <w:rPr>
                <w:rFonts w:ascii="Arial" w:hAnsi="Arial" w:cs="Arial"/>
                <w:color w:val="000000"/>
                <w:sz w:val="18"/>
                <w:szCs w:val="18"/>
              </w:rPr>
              <w:t>10.9</w:t>
            </w:r>
            <w:r w:rsidRPr="00110DFD">
              <w:rPr>
                <w:rFonts w:ascii="Arial" w:hAnsi="Arial" w:cs="Arial"/>
                <w:color w:val="000000"/>
                <w:sz w:val="18"/>
                <w:szCs w:val="18"/>
              </w:rPr>
              <w:t>%</w:t>
            </w:r>
          </w:p>
        </w:tc>
        <w:tc>
          <w:tcPr>
            <w:tcW w:w="1395" w:type="dxa"/>
            <w:vAlign w:val="bottom"/>
          </w:tcPr>
          <w:p w14:paraId="354407B1" w14:textId="3C63F911"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3D91">
              <w:rPr>
                <w:rFonts w:ascii="Arial" w:hAnsi="Arial" w:cs="Arial"/>
                <w:color w:val="000000"/>
                <w:sz w:val="18"/>
                <w:szCs w:val="18"/>
              </w:rPr>
              <w:t>23.6</w:t>
            </w:r>
            <w:r w:rsidRPr="00110DFD">
              <w:rPr>
                <w:rFonts w:ascii="Arial" w:hAnsi="Arial" w:cs="Arial"/>
                <w:color w:val="000000"/>
                <w:sz w:val="18"/>
                <w:szCs w:val="18"/>
              </w:rPr>
              <w:t>%</w:t>
            </w:r>
          </w:p>
        </w:tc>
      </w:tr>
      <w:tr w:rsidR="00F82D45" w:rsidRPr="00F15260" w14:paraId="27E0DBE7" w14:textId="77777777" w:rsidTr="00F82D45">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1F0534E" w14:textId="77777777" w:rsidR="00F82D45" w:rsidRPr="00110DFD" w:rsidRDefault="00F82D45" w:rsidP="00F82D45">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Lobster</w:t>
            </w:r>
          </w:p>
        </w:tc>
        <w:tc>
          <w:tcPr>
            <w:tcW w:w="1305" w:type="dxa"/>
          </w:tcPr>
          <w:p w14:paraId="7BB8827E" w14:textId="00BF5D06"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16EFD">
              <w:rPr>
                <w:rFonts w:ascii="Arial" w:hAnsi="Arial" w:cs="Arial"/>
                <w:color w:val="000000"/>
                <w:sz w:val="18"/>
                <w:szCs w:val="18"/>
              </w:rPr>
              <w:t>43.1</w:t>
            </w:r>
            <w:r w:rsidRPr="00B911BA">
              <w:rPr>
                <w:rFonts w:ascii="Arial" w:hAnsi="Arial" w:cs="Arial"/>
                <w:color w:val="000000"/>
                <w:sz w:val="18"/>
                <w:szCs w:val="18"/>
              </w:rPr>
              <w:t>M</w:t>
            </w:r>
          </w:p>
        </w:tc>
        <w:tc>
          <w:tcPr>
            <w:tcW w:w="1485" w:type="dxa"/>
            <w:vAlign w:val="bottom"/>
          </w:tcPr>
          <w:p w14:paraId="70730D97" w14:textId="3A62E8A5" w:rsidR="00F82D45" w:rsidRPr="00110DFD" w:rsidRDefault="00C9427A"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16EFD">
              <w:rPr>
                <w:rFonts w:ascii="Arial" w:hAnsi="Arial" w:cs="Arial"/>
                <w:color w:val="000000"/>
                <w:sz w:val="18"/>
                <w:szCs w:val="18"/>
              </w:rPr>
              <w:t>15.1</w:t>
            </w:r>
            <w:r w:rsidR="00F82D45" w:rsidRPr="00110DFD">
              <w:rPr>
                <w:rFonts w:ascii="Arial" w:hAnsi="Arial" w:cs="Arial"/>
                <w:color w:val="000000"/>
                <w:sz w:val="18"/>
                <w:szCs w:val="18"/>
              </w:rPr>
              <w:t>%</w:t>
            </w:r>
          </w:p>
        </w:tc>
        <w:tc>
          <w:tcPr>
            <w:tcW w:w="1485" w:type="dxa"/>
            <w:tcBorders>
              <w:right w:val="single" w:sz="4" w:space="0" w:color="auto"/>
            </w:tcBorders>
            <w:vAlign w:val="bottom"/>
          </w:tcPr>
          <w:p w14:paraId="08DD4754" w14:textId="0B8FF402"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16EFD">
              <w:rPr>
                <w:rFonts w:ascii="Arial" w:hAnsi="Arial" w:cs="Arial"/>
                <w:color w:val="000000"/>
                <w:sz w:val="18"/>
                <w:szCs w:val="18"/>
              </w:rPr>
              <w:t>31.3</w:t>
            </w:r>
            <w:r w:rsidRPr="00110DFD">
              <w:rPr>
                <w:rFonts w:ascii="Arial" w:hAnsi="Arial" w:cs="Arial"/>
                <w:color w:val="000000"/>
                <w:sz w:val="18"/>
                <w:szCs w:val="18"/>
              </w:rPr>
              <w:t>%</w:t>
            </w:r>
          </w:p>
        </w:tc>
        <w:tc>
          <w:tcPr>
            <w:tcW w:w="1485" w:type="dxa"/>
            <w:gridSpan w:val="2"/>
            <w:tcBorders>
              <w:left w:val="single" w:sz="4" w:space="0" w:color="auto"/>
            </w:tcBorders>
          </w:tcPr>
          <w:p w14:paraId="2C062387" w14:textId="71F67A0A"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13D91">
              <w:rPr>
                <w:rFonts w:ascii="Arial" w:hAnsi="Arial" w:cs="Arial"/>
                <w:color w:val="000000"/>
                <w:sz w:val="18"/>
                <w:szCs w:val="18"/>
              </w:rPr>
              <w:t>399.5</w:t>
            </w:r>
            <w:r w:rsidRPr="00B47251">
              <w:rPr>
                <w:rFonts w:ascii="Arial" w:hAnsi="Arial" w:cs="Arial"/>
                <w:color w:val="000000"/>
                <w:sz w:val="18"/>
                <w:szCs w:val="18"/>
              </w:rPr>
              <w:t>M</w:t>
            </w:r>
          </w:p>
        </w:tc>
        <w:tc>
          <w:tcPr>
            <w:tcW w:w="1485" w:type="dxa"/>
            <w:vAlign w:val="bottom"/>
          </w:tcPr>
          <w:p w14:paraId="028DCCDC" w14:textId="7E1199EA"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3D91">
              <w:rPr>
                <w:rFonts w:ascii="Arial" w:hAnsi="Arial" w:cs="Arial"/>
                <w:color w:val="000000"/>
                <w:sz w:val="18"/>
                <w:szCs w:val="18"/>
              </w:rPr>
              <w:t>3.7</w:t>
            </w:r>
            <w:r w:rsidRPr="00110DFD">
              <w:rPr>
                <w:rFonts w:ascii="Arial" w:hAnsi="Arial" w:cs="Arial"/>
                <w:color w:val="000000"/>
                <w:sz w:val="18"/>
                <w:szCs w:val="18"/>
              </w:rPr>
              <w:t>%</w:t>
            </w:r>
          </w:p>
        </w:tc>
        <w:tc>
          <w:tcPr>
            <w:tcW w:w="1395" w:type="dxa"/>
            <w:vAlign w:val="bottom"/>
          </w:tcPr>
          <w:p w14:paraId="14F8CD18" w14:textId="40D55799"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3D91">
              <w:rPr>
                <w:rFonts w:ascii="Arial" w:hAnsi="Arial" w:cs="Arial"/>
                <w:color w:val="000000"/>
                <w:sz w:val="18"/>
                <w:szCs w:val="18"/>
              </w:rPr>
              <w:t>10.0</w:t>
            </w:r>
            <w:r w:rsidRPr="00110DFD">
              <w:rPr>
                <w:rFonts w:ascii="Arial" w:hAnsi="Arial" w:cs="Arial"/>
                <w:color w:val="000000"/>
                <w:sz w:val="18"/>
                <w:szCs w:val="18"/>
              </w:rPr>
              <w:t>%</w:t>
            </w:r>
          </w:p>
        </w:tc>
      </w:tr>
      <w:tr w:rsidR="00C9427A" w:rsidRPr="00F15260" w14:paraId="5C9C4096" w14:textId="77777777" w:rsidTr="00EC464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B4CF2D5" w14:textId="77777777" w:rsidR="00C9427A" w:rsidRPr="00110DFD" w:rsidRDefault="00C9427A" w:rsidP="00EC4640">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Tilapia</w:t>
            </w:r>
          </w:p>
        </w:tc>
        <w:tc>
          <w:tcPr>
            <w:tcW w:w="1305" w:type="dxa"/>
          </w:tcPr>
          <w:p w14:paraId="520CDA60" w14:textId="232AF798"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16EFD">
              <w:rPr>
                <w:rFonts w:ascii="Arial" w:hAnsi="Arial" w:cs="Arial"/>
                <w:color w:val="000000"/>
                <w:sz w:val="18"/>
                <w:szCs w:val="18"/>
              </w:rPr>
              <w:t>25.9</w:t>
            </w:r>
            <w:r w:rsidRPr="00B911BA">
              <w:rPr>
                <w:rFonts w:ascii="Arial" w:hAnsi="Arial" w:cs="Arial"/>
                <w:color w:val="000000"/>
                <w:sz w:val="18"/>
                <w:szCs w:val="18"/>
              </w:rPr>
              <w:t>M</w:t>
            </w:r>
          </w:p>
        </w:tc>
        <w:tc>
          <w:tcPr>
            <w:tcW w:w="1485" w:type="dxa"/>
            <w:vAlign w:val="bottom"/>
          </w:tcPr>
          <w:p w14:paraId="52227E99" w14:textId="4EA527F7"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w:t>
            </w:r>
            <w:r w:rsidR="00C16EFD">
              <w:rPr>
                <w:rFonts w:ascii="Arial" w:hAnsi="Arial" w:cs="Arial"/>
                <w:color w:val="000000"/>
                <w:sz w:val="18"/>
                <w:szCs w:val="18"/>
              </w:rPr>
              <w:t>6.4</w:t>
            </w:r>
            <w:r w:rsidRPr="00110DFD">
              <w:rPr>
                <w:rFonts w:ascii="Arial" w:hAnsi="Arial" w:cs="Arial"/>
                <w:color w:val="000000"/>
                <w:sz w:val="18"/>
                <w:szCs w:val="18"/>
              </w:rPr>
              <w:t>%</w:t>
            </w:r>
          </w:p>
        </w:tc>
        <w:tc>
          <w:tcPr>
            <w:tcW w:w="1485" w:type="dxa"/>
            <w:tcBorders>
              <w:right w:val="single" w:sz="4" w:space="0" w:color="auto"/>
            </w:tcBorders>
            <w:vAlign w:val="bottom"/>
          </w:tcPr>
          <w:p w14:paraId="105F98BD" w14:textId="19432D91"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w:t>
            </w:r>
            <w:r w:rsidR="00C16EFD">
              <w:rPr>
                <w:rFonts w:ascii="Arial" w:hAnsi="Arial" w:cs="Arial"/>
                <w:color w:val="000000"/>
                <w:sz w:val="18"/>
                <w:szCs w:val="18"/>
              </w:rPr>
              <w:t>2.7</w:t>
            </w:r>
            <w:r w:rsidRPr="00110DFD">
              <w:rPr>
                <w:rFonts w:ascii="Arial" w:hAnsi="Arial" w:cs="Arial"/>
                <w:color w:val="000000"/>
                <w:sz w:val="18"/>
                <w:szCs w:val="18"/>
              </w:rPr>
              <w:t>%</w:t>
            </w:r>
          </w:p>
        </w:tc>
        <w:tc>
          <w:tcPr>
            <w:tcW w:w="1485" w:type="dxa"/>
            <w:gridSpan w:val="2"/>
            <w:tcBorders>
              <w:left w:val="single" w:sz="4" w:space="0" w:color="auto"/>
            </w:tcBorders>
          </w:tcPr>
          <w:p w14:paraId="3E734661" w14:textId="26B9147F"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13D91">
              <w:rPr>
                <w:rFonts w:ascii="Arial" w:hAnsi="Arial" w:cs="Arial"/>
                <w:color w:val="000000"/>
                <w:sz w:val="18"/>
                <w:szCs w:val="18"/>
              </w:rPr>
              <w:t>297.2</w:t>
            </w:r>
            <w:r w:rsidRPr="00B47251">
              <w:rPr>
                <w:rFonts w:ascii="Arial" w:hAnsi="Arial" w:cs="Arial"/>
                <w:color w:val="000000"/>
                <w:sz w:val="18"/>
                <w:szCs w:val="18"/>
              </w:rPr>
              <w:t>M</w:t>
            </w:r>
          </w:p>
        </w:tc>
        <w:tc>
          <w:tcPr>
            <w:tcW w:w="1485" w:type="dxa"/>
            <w:vAlign w:val="bottom"/>
          </w:tcPr>
          <w:p w14:paraId="675FC829" w14:textId="27C8FEED"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15.</w:t>
            </w:r>
            <w:r w:rsidR="00113D91">
              <w:rPr>
                <w:rFonts w:ascii="Arial" w:hAnsi="Arial" w:cs="Arial"/>
                <w:color w:val="000000"/>
                <w:sz w:val="18"/>
                <w:szCs w:val="18"/>
              </w:rPr>
              <w:t>5</w:t>
            </w:r>
            <w:r w:rsidRPr="00110DFD">
              <w:rPr>
                <w:rFonts w:ascii="Arial" w:hAnsi="Arial" w:cs="Arial"/>
                <w:color w:val="000000"/>
                <w:sz w:val="18"/>
                <w:szCs w:val="18"/>
              </w:rPr>
              <w:t>%</w:t>
            </w:r>
          </w:p>
        </w:tc>
        <w:tc>
          <w:tcPr>
            <w:tcW w:w="1395" w:type="dxa"/>
          </w:tcPr>
          <w:p w14:paraId="608EAD53" w14:textId="490620F7"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1B46">
              <w:rPr>
                <w:rFonts w:ascii="Arial" w:hAnsi="Arial" w:cs="Arial"/>
                <w:color w:val="000000"/>
                <w:sz w:val="18"/>
                <w:szCs w:val="18"/>
              </w:rPr>
              <w:t>+</w:t>
            </w:r>
            <w:r w:rsidR="001E070B">
              <w:rPr>
                <w:rFonts w:ascii="Arial" w:hAnsi="Arial" w:cs="Arial"/>
                <w:color w:val="000000"/>
                <w:sz w:val="18"/>
                <w:szCs w:val="18"/>
              </w:rPr>
              <w:t>17.</w:t>
            </w:r>
            <w:r w:rsidR="00113D91">
              <w:rPr>
                <w:rFonts w:ascii="Arial" w:hAnsi="Arial" w:cs="Arial"/>
                <w:color w:val="000000"/>
                <w:sz w:val="18"/>
                <w:szCs w:val="18"/>
              </w:rPr>
              <w:t>4</w:t>
            </w:r>
            <w:r w:rsidRPr="00E11B46">
              <w:rPr>
                <w:rFonts w:ascii="Arial" w:hAnsi="Arial" w:cs="Arial"/>
                <w:color w:val="000000"/>
                <w:sz w:val="18"/>
                <w:szCs w:val="18"/>
              </w:rPr>
              <w:t>%</w:t>
            </w:r>
          </w:p>
        </w:tc>
      </w:tr>
      <w:tr w:rsidR="00F82D45" w:rsidRPr="00F15260" w14:paraId="62F9DCC2" w14:textId="77777777" w:rsidTr="00F82D45">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125EB4D8" w14:textId="77777777" w:rsidR="00F82D45" w:rsidRPr="00110DFD" w:rsidRDefault="00F82D45" w:rsidP="00F82D45">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Cod</w:t>
            </w:r>
          </w:p>
        </w:tc>
        <w:tc>
          <w:tcPr>
            <w:tcW w:w="1305" w:type="dxa"/>
          </w:tcPr>
          <w:p w14:paraId="564C8D2C" w14:textId="0E189CAA"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16EFD">
              <w:rPr>
                <w:rFonts w:ascii="Arial" w:hAnsi="Arial" w:cs="Arial"/>
                <w:color w:val="000000"/>
                <w:sz w:val="18"/>
                <w:szCs w:val="18"/>
              </w:rPr>
              <w:t>23.3</w:t>
            </w:r>
            <w:r w:rsidRPr="00B911BA">
              <w:rPr>
                <w:rFonts w:ascii="Arial" w:hAnsi="Arial" w:cs="Arial"/>
                <w:color w:val="000000"/>
                <w:sz w:val="18"/>
                <w:szCs w:val="18"/>
              </w:rPr>
              <w:t>M</w:t>
            </w:r>
          </w:p>
        </w:tc>
        <w:tc>
          <w:tcPr>
            <w:tcW w:w="1485" w:type="dxa"/>
            <w:vAlign w:val="bottom"/>
          </w:tcPr>
          <w:p w14:paraId="51D0AE7E" w14:textId="59D33BF1" w:rsidR="00F82D45" w:rsidRPr="00110DFD" w:rsidRDefault="00C16EFD"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+7.3</w:t>
            </w:r>
            <w:r w:rsidR="00F82D45" w:rsidRPr="00110DFD">
              <w:rPr>
                <w:rFonts w:ascii="Arial" w:hAnsi="Arial" w:cs="Arial"/>
                <w:color w:val="000000"/>
                <w:sz w:val="18"/>
                <w:szCs w:val="18"/>
              </w:rPr>
              <w:t>%</w:t>
            </w:r>
          </w:p>
        </w:tc>
        <w:tc>
          <w:tcPr>
            <w:tcW w:w="1485" w:type="dxa"/>
            <w:tcBorders>
              <w:right w:val="single" w:sz="4" w:space="0" w:color="auto"/>
            </w:tcBorders>
            <w:vAlign w:val="bottom"/>
          </w:tcPr>
          <w:p w14:paraId="4DC30BFD" w14:textId="3B408178"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16EFD">
              <w:rPr>
                <w:rFonts w:ascii="Arial" w:hAnsi="Arial" w:cs="Arial"/>
                <w:color w:val="000000"/>
                <w:sz w:val="18"/>
                <w:szCs w:val="18"/>
              </w:rPr>
              <w:t>3.5</w:t>
            </w:r>
            <w:r w:rsidRPr="00110DFD">
              <w:rPr>
                <w:rFonts w:ascii="Arial" w:hAnsi="Arial" w:cs="Arial"/>
                <w:color w:val="000000"/>
                <w:sz w:val="18"/>
                <w:szCs w:val="18"/>
              </w:rPr>
              <w:t>%</w:t>
            </w:r>
          </w:p>
        </w:tc>
        <w:tc>
          <w:tcPr>
            <w:tcW w:w="1485" w:type="dxa"/>
            <w:gridSpan w:val="2"/>
            <w:tcBorders>
              <w:left w:val="single" w:sz="4" w:space="0" w:color="auto"/>
            </w:tcBorders>
          </w:tcPr>
          <w:p w14:paraId="4EAFB82F" w14:textId="1F2189A2"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13D91">
              <w:rPr>
                <w:rFonts w:ascii="Arial" w:hAnsi="Arial" w:cs="Arial"/>
                <w:color w:val="000000"/>
                <w:sz w:val="18"/>
                <w:szCs w:val="18"/>
              </w:rPr>
              <w:t>265.5</w:t>
            </w:r>
            <w:r w:rsidRPr="00B47251">
              <w:rPr>
                <w:rFonts w:ascii="Arial" w:hAnsi="Arial" w:cs="Arial"/>
                <w:color w:val="000000"/>
                <w:sz w:val="18"/>
                <w:szCs w:val="18"/>
              </w:rPr>
              <w:t>M</w:t>
            </w:r>
          </w:p>
        </w:tc>
        <w:tc>
          <w:tcPr>
            <w:tcW w:w="1485" w:type="dxa"/>
          </w:tcPr>
          <w:p w14:paraId="4639C3A8" w14:textId="52072DCF"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F4FA6">
              <w:rPr>
                <w:rFonts w:ascii="Arial" w:hAnsi="Arial" w:cs="Arial"/>
                <w:color w:val="000000"/>
                <w:sz w:val="18"/>
                <w:szCs w:val="18"/>
              </w:rPr>
              <w:t>+</w:t>
            </w:r>
            <w:r w:rsidR="00113D91">
              <w:rPr>
                <w:rFonts w:ascii="Arial" w:hAnsi="Arial" w:cs="Arial"/>
                <w:color w:val="000000"/>
                <w:sz w:val="18"/>
                <w:szCs w:val="18"/>
              </w:rPr>
              <w:t>3.1</w:t>
            </w:r>
            <w:r w:rsidRPr="005F4FA6">
              <w:rPr>
                <w:rFonts w:ascii="Arial" w:hAnsi="Arial" w:cs="Arial"/>
                <w:color w:val="000000"/>
                <w:sz w:val="18"/>
                <w:szCs w:val="18"/>
              </w:rPr>
              <w:t>%</w:t>
            </w:r>
          </w:p>
        </w:tc>
        <w:tc>
          <w:tcPr>
            <w:tcW w:w="1395" w:type="dxa"/>
          </w:tcPr>
          <w:p w14:paraId="3113E30B" w14:textId="564E4E15"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3D91">
              <w:rPr>
                <w:rFonts w:ascii="Arial" w:hAnsi="Arial" w:cs="Arial"/>
                <w:color w:val="000000"/>
                <w:sz w:val="18"/>
                <w:szCs w:val="18"/>
              </w:rPr>
              <w:t>4.8</w:t>
            </w:r>
            <w:r w:rsidRPr="005F4FA6">
              <w:rPr>
                <w:rFonts w:ascii="Arial" w:hAnsi="Arial" w:cs="Arial"/>
                <w:color w:val="000000"/>
                <w:sz w:val="18"/>
                <w:szCs w:val="18"/>
              </w:rPr>
              <w:t>%</w:t>
            </w:r>
          </w:p>
        </w:tc>
      </w:tr>
      <w:tr w:rsidR="00F82D45" w:rsidRPr="00F15260" w14:paraId="35C02293" w14:textId="77777777" w:rsidTr="00F82D4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EAB835E" w14:textId="77777777" w:rsidR="00F82D45" w:rsidRPr="00110DFD" w:rsidRDefault="00F82D45" w:rsidP="00F82D45">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Trout</w:t>
            </w:r>
          </w:p>
        </w:tc>
        <w:tc>
          <w:tcPr>
            <w:tcW w:w="1305" w:type="dxa"/>
          </w:tcPr>
          <w:p w14:paraId="44DB92FA" w14:textId="128E0481"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911BA">
              <w:rPr>
                <w:rFonts w:ascii="Arial" w:hAnsi="Arial" w:cs="Arial"/>
                <w:color w:val="000000"/>
                <w:sz w:val="18"/>
                <w:szCs w:val="18"/>
              </w:rPr>
              <w:t>$</w:t>
            </w:r>
            <w:r w:rsidR="00C16EFD">
              <w:rPr>
                <w:rFonts w:ascii="Arial" w:hAnsi="Arial" w:cs="Arial"/>
                <w:color w:val="000000"/>
                <w:sz w:val="18"/>
                <w:szCs w:val="18"/>
              </w:rPr>
              <w:t>22.1</w:t>
            </w:r>
            <w:r w:rsidRPr="00B911BA">
              <w:rPr>
                <w:rFonts w:ascii="Arial" w:hAnsi="Arial" w:cs="Arial"/>
                <w:color w:val="000000"/>
                <w:sz w:val="18"/>
                <w:szCs w:val="18"/>
              </w:rPr>
              <w:t>M</w:t>
            </w:r>
          </w:p>
        </w:tc>
        <w:tc>
          <w:tcPr>
            <w:tcW w:w="1485" w:type="dxa"/>
            <w:vAlign w:val="bottom"/>
          </w:tcPr>
          <w:p w14:paraId="36A254F7" w14:textId="3F015852"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16EFD">
              <w:rPr>
                <w:rFonts w:ascii="Arial" w:hAnsi="Arial" w:cs="Arial"/>
                <w:color w:val="000000"/>
                <w:sz w:val="18"/>
                <w:szCs w:val="18"/>
              </w:rPr>
              <w:t>17.3</w:t>
            </w:r>
            <w:r w:rsidRPr="00110DFD">
              <w:rPr>
                <w:rFonts w:ascii="Arial" w:hAnsi="Arial" w:cs="Arial"/>
                <w:color w:val="000000"/>
                <w:sz w:val="18"/>
                <w:szCs w:val="18"/>
              </w:rPr>
              <w:t>%</w:t>
            </w:r>
          </w:p>
        </w:tc>
        <w:tc>
          <w:tcPr>
            <w:tcW w:w="1485" w:type="dxa"/>
            <w:tcBorders>
              <w:right w:val="single" w:sz="4" w:space="0" w:color="auto"/>
            </w:tcBorders>
            <w:vAlign w:val="bottom"/>
          </w:tcPr>
          <w:p w14:paraId="0CA260E6" w14:textId="73337923"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1</w:t>
            </w:r>
            <w:r w:rsidR="00C16EFD">
              <w:rPr>
                <w:rFonts w:ascii="Arial" w:hAnsi="Arial" w:cs="Arial"/>
                <w:color w:val="000000"/>
                <w:sz w:val="18"/>
                <w:szCs w:val="18"/>
              </w:rPr>
              <w:t>4.7</w:t>
            </w:r>
            <w:r w:rsidRPr="00110DFD">
              <w:rPr>
                <w:rFonts w:ascii="Arial" w:hAnsi="Arial" w:cs="Arial"/>
                <w:color w:val="000000"/>
                <w:sz w:val="18"/>
                <w:szCs w:val="18"/>
              </w:rPr>
              <w:t>%</w:t>
            </w:r>
          </w:p>
        </w:tc>
        <w:tc>
          <w:tcPr>
            <w:tcW w:w="1485" w:type="dxa"/>
            <w:gridSpan w:val="2"/>
            <w:tcBorders>
              <w:left w:val="single" w:sz="4" w:space="0" w:color="auto"/>
            </w:tcBorders>
          </w:tcPr>
          <w:p w14:paraId="4C6C10E0" w14:textId="7530D4EC" w:rsidR="00F82D45" w:rsidRPr="00562ED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13D91">
              <w:rPr>
                <w:rFonts w:ascii="Arial" w:hAnsi="Arial" w:cs="Arial"/>
                <w:color w:val="000000"/>
                <w:sz w:val="18"/>
                <w:szCs w:val="18"/>
              </w:rPr>
              <w:t>263.6</w:t>
            </w:r>
            <w:r w:rsidRPr="00B47251">
              <w:rPr>
                <w:rFonts w:ascii="Arial" w:hAnsi="Arial" w:cs="Arial"/>
                <w:color w:val="000000"/>
                <w:sz w:val="18"/>
                <w:szCs w:val="18"/>
              </w:rPr>
              <w:t>M</w:t>
            </w:r>
          </w:p>
        </w:tc>
        <w:tc>
          <w:tcPr>
            <w:tcW w:w="1485" w:type="dxa"/>
          </w:tcPr>
          <w:p w14:paraId="68D0397D" w14:textId="65FFAB9D" w:rsidR="00F82D45" w:rsidRPr="00562ED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F4FA6">
              <w:rPr>
                <w:rFonts w:ascii="Arial" w:hAnsi="Arial" w:cs="Arial"/>
                <w:color w:val="000000"/>
                <w:sz w:val="18"/>
                <w:szCs w:val="18"/>
              </w:rPr>
              <w:t>+</w:t>
            </w:r>
            <w:r w:rsidR="00113D91">
              <w:rPr>
                <w:rFonts w:ascii="Arial" w:hAnsi="Arial" w:cs="Arial"/>
                <w:color w:val="000000"/>
                <w:sz w:val="18"/>
                <w:szCs w:val="18"/>
              </w:rPr>
              <w:t>20.3</w:t>
            </w:r>
            <w:r w:rsidRPr="005F4FA6">
              <w:rPr>
                <w:rFonts w:ascii="Arial" w:hAnsi="Arial" w:cs="Arial"/>
                <w:color w:val="000000"/>
                <w:sz w:val="18"/>
                <w:szCs w:val="18"/>
              </w:rPr>
              <w:t>%</w:t>
            </w:r>
          </w:p>
        </w:tc>
        <w:tc>
          <w:tcPr>
            <w:tcW w:w="1395" w:type="dxa"/>
          </w:tcPr>
          <w:p w14:paraId="173A61A1" w14:textId="4C08AA5F" w:rsidR="00F82D45" w:rsidRPr="00562ED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1B46">
              <w:rPr>
                <w:rFonts w:ascii="Arial" w:hAnsi="Arial" w:cs="Arial"/>
                <w:color w:val="000000"/>
                <w:sz w:val="18"/>
                <w:szCs w:val="18"/>
              </w:rPr>
              <w:t>+</w:t>
            </w:r>
            <w:r w:rsidR="001E070B">
              <w:rPr>
                <w:rFonts w:ascii="Arial" w:hAnsi="Arial" w:cs="Arial"/>
                <w:color w:val="000000"/>
                <w:sz w:val="18"/>
                <w:szCs w:val="18"/>
              </w:rPr>
              <w:t>23.</w:t>
            </w:r>
            <w:r w:rsidR="00113D91">
              <w:rPr>
                <w:rFonts w:ascii="Arial" w:hAnsi="Arial" w:cs="Arial"/>
                <w:color w:val="000000"/>
                <w:sz w:val="18"/>
                <w:szCs w:val="18"/>
              </w:rPr>
              <w:t>0</w:t>
            </w:r>
            <w:r w:rsidRPr="00E11B46">
              <w:rPr>
                <w:rFonts w:ascii="Arial" w:hAnsi="Arial" w:cs="Arial"/>
                <w:color w:val="000000"/>
                <w:sz w:val="18"/>
                <w:szCs w:val="18"/>
              </w:rPr>
              <w:t>%</w:t>
            </w:r>
          </w:p>
        </w:tc>
      </w:tr>
      <w:tr w:rsidR="00F82D45" w:rsidRPr="00F15260" w14:paraId="653995BC" w14:textId="77777777" w:rsidTr="00F82D45">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15832D35" w:rsidR="00F82D45" w:rsidRPr="00110DFD" w:rsidRDefault="00F82D45" w:rsidP="00F82D45">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Catfish</w:t>
            </w:r>
          </w:p>
        </w:tc>
        <w:tc>
          <w:tcPr>
            <w:tcW w:w="1305" w:type="dxa"/>
          </w:tcPr>
          <w:p w14:paraId="6A9D6AFB" w14:textId="111C7657"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16EFD">
              <w:rPr>
                <w:rFonts w:ascii="Arial" w:hAnsi="Arial" w:cs="Arial"/>
                <w:color w:val="000000"/>
                <w:sz w:val="18"/>
                <w:szCs w:val="18"/>
              </w:rPr>
              <w:t>16.8</w:t>
            </w:r>
            <w:r w:rsidRPr="00B911BA">
              <w:rPr>
                <w:rFonts w:ascii="Arial" w:hAnsi="Arial" w:cs="Arial"/>
                <w:color w:val="000000"/>
                <w:sz w:val="18"/>
                <w:szCs w:val="18"/>
              </w:rPr>
              <w:t>M</w:t>
            </w:r>
          </w:p>
        </w:tc>
        <w:tc>
          <w:tcPr>
            <w:tcW w:w="1485" w:type="dxa"/>
            <w:vAlign w:val="bottom"/>
          </w:tcPr>
          <w:p w14:paraId="341E205C" w14:textId="1EA32FF3" w:rsidR="00F82D45" w:rsidRPr="00110DFD" w:rsidRDefault="00C16EFD"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+7.4</w:t>
            </w:r>
            <w:r w:rsidR="00F82D45" w:rsidRPr="00110DFD">
              <w:rPr>
                <w:rFonts w:ascii="Arial" w:hAnsi="Arial" w:cs="Arial"/>
                <w:color w:val="000000"/>
                <w:sz w:val="18"/>
                <w:szCs w:val="18"/>
              </w:rPr>
              <w:t>%</w:t>
            </w:r>
          </w:p>
        </w:tc>
        <w:tc>
          <w:tcPr>
            <w:tcW w:w="1485" w:type="dxa"/>
            <w:tcBorders>
              <w:right w:val="single" w:sz="4" w:space="0" w:color="auto"/>
            </w:tcBorders>
            <w:vAlign w:val="bottom"/>
          </w:tcPr>
          <w:p w14:paraId="02CC48F6" w14:textId="260C6727" w:rsidR="00F82D45" w:rsidRPr="00110DFD" w:rsidRDefault="00C16EFD"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+6.9</w:t>
            </w:r>
            <w:r w:rsidR="00F82D45" w:rsidRPr="00110DFD">
              <w:rPr>
                <w:rFonts w:ascii="Arial" w:hAnsi="Arial" w:cs="Arial"/>
                <w:color w:val="000000"/>
                <w:sz w:val="18"/>
                <w:szCs w:val="18"/>
              </w:rPr>
              <w:t>%</w:t>
            </w:r>
          </w:p>
        </w:tc>
        <w:tc>
          <w:tcPr>
            <w:tcW w:w="1485" w:type="dxa"/>
            <w:gridSpan w:val="2"/>
            <w:tcBorders>
              <w:left w:val="single" w:sz="4" w:space="0" w:color="auto"/>
            </w:tcBorders>
          </w:tcPr>
          <w:p w14:paraId="7217A92E" w14:textId="22883FFE" w:rsidR="00F82D45" w:rsidRPr="00562ED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13D91">
              <w:rPr>
                <w:rFonts w:ascii="Arial" w:hAnsi="Arial" w:cs="Arial"/>
                <w:color w:val="000000"/>
                <w:sz w:val="18"/>
                <w:szCs w:val="18"/>
              </w:rPr>
              <w:t>209.3</w:t>
            </w:r>
            <w:r w:rsidRPr="00B47251">
              <w:rPr>
                <w:rFonts w:ascii="Arial" w:hAnsi="Arial" w:cs="Arial"/>
                <w:color w:val="000000"/>
                <w:sz w:val="18"/>
                <w:szCs w:val="18"/>
              </w:rPr>
              <w:t>M</w:t>
            </w:r>
          </w:p>
        </w:tc>
        <w:tc>
          <w:tcPr>
            <w:tcW w:w="1485" w:type="dxa"/>
            <w:vAlign w:val="bottom"/>
          </w:tcPr>
          <w:p w14:paraId="10C2432D" w14:textId="0495AB45" w:rsidR="00F82D45" w:rsidRPr="00562ED9" w:rsidRDefault="001E070B"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3D91">
              <w:rPr>
                <w:rFonts w:ascii="Arial" w:hAnsi="Arial" w:cs="Arial"/>
                <w:color w:val="000000"/>
                <w:sz w:val="18"/>
                <w:szCs w:val="18"/>
              </w:rPr>
              <w:t>1.4</w:t>
            </w:r>
            <w:r w:rsidR="00F82D45" w:rsidRPr="00562ED9">
              <w:rPr>
                <w:rFonts w:ascii="Arial" w:hAnsi="Arial" w:cs="Arial"/>
                <w:color w:val="000000"/>
                <w:sz w:val="18"/>
                <w:szCs w:val="18"/>
              </w:rPr>
              <w:t>%</w:t>
            </w:r>
          </w:p>
        </w:tc>
        <w:tc>
          <w:tcPr>
            <w:tcW w:w="1395" w:type="dxa"/>
          </w:tcPr>
          <w:p w14:paraId="0797CA53" w14:textId="738884D9" w:rsidR="00F82D45" w:rsidRPr="00562ED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1B46">
              <w:rPr>
                <w:rFonts w:ascii="Arial" w:hAnsi="Arial" w:cs="Arial"/>
                <w:color w:val="000000"/>
                <w:sz w:val="18"/>
                <w:szCs w:val="18"/>
              </w:rPr>
              <w:t>+</w:t>
            </w:r>
            <w:r w:rsidR="00113D91">
              <w:rPr>
                <w:rFonts w:ascii="Arial" w:hAnsi="Arial" w:cs="Arial"/>
                <w:color w:val="000000"/>
                <w:sz w:val="18"/>
                <w:szCs w:val="18"/>
              </w:rPr>
              <w:t>2.3</w:t>
            </w:r>
            <w:r w:rsidRPr="00E11B46">
              <w:rPr>
                <w:rFonts w:ascii="Arial" w:hAnsi="Arial" w:cs="Arial"/>
                <w:color w:val="000000"/>
                <w:sz w:val="18"/>
                <w:szCs w:val="18"/>
              </w:rPr>
              <w:t>%</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r w:rsidR="007A44BE" w:rsidRPr="000A6F81">
        <w:rPr>
          <w:rFonts w:ascii="Arial" w:hAnsi="Arial" w:cs="Arial"/>
          <w:color w:val="7F7F7F" w:themeColor="text1" w:themeTint="80"/>
          <w:sz w:val="16"/>
          <w:szCs w:val="16"/>
        </w:rPr>
        <w:t>Circana</w:t>
      </w:r>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866DBA2" w14:textId="69C966FD"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75080793" w:rsidR="005A1DA4" w:rsidRDefault="002A6CBA"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Frozen food sales patterns mirrored those of total food and beverages</w:t>
      </w:r>
      <w:r w:rsidR="002C7B87">
        <w:rPr>
          <w:rFonts w:ascii="Arial" w:hAnsi="Arial" w:cs="Arial"/>
          <w:color w:val="000000" w:themeColor="text1"/>
          <w:sz w:val="20"/>
          <w:szCs w:val="20"/>
        </w:rPr>
        <w:t>. Dollar sales rose by about 1% while units were down by about 1%. Total year unit sales were flat.</w:t>
      </w:r>
      <w:r w:rsidR="00146A75">
        <w:rPr>
          <w:rFonts w:ascii="Arial" w:hAnsi="Arial" w:cs="Arial"/>
          <w:color w:val="000000" w:themeColor="text1"/>
          <w:sz w:val="20"/>
          <w:szCs w:val="20"/>
        </w:rPr>
        <w:t xml:space="preserve"> Much of the sales pressure lies in frozen meals, whereas</w:t>
      </w:r>
      <w:r w:rsidR="00EF4667">
        <w:rPr>
          <w:rFonts w:ascii="Arial" w:hAnsi="Arial" w:cs="Arial"/>
          <w:color w:val="000000" w:themeColor="text1"/>
          <w:sz w:val="20"/>
          <w:szCs w:val="20"/>
        </w:rPr>
        <w:t xml:space="preserve"> processed meat and poultry sales </w:t>
      </w:r>
      <w:r w:rsidR="00146A75">
        <w:rPr>
          <w:rFonts w:ascii="Arial" w:hAnsi="Arial" w:cs="Arial"/>
          <w:color w:val="000000" w:themeColor="text1"/>
          <w:sz w:val="20"/>
          <w:szCs w:val="20"/>
        </w:rPr>
        <w:t xml:space="preserve">are growing rapidly, due to growing demand among Gen Z and Millennial consumers. </w:t>
      </w:r>
      <w:r w:rsidR="00C75366">
        <w:rPr>
          <w:rFonts w:ascii="Arial" w:hAnsi="Arial" w:cs="Arial"/>
          <w:color w:val="000000" w:themeColor="text1"/>
          <w:sz w:val="20"/>
          <w:szCs w:val="20"/>
        </w:rPr>
        <w:t xml:space="preserve">Seafood sales were strong, rising above processed meat and poultry this month. No doubt Lent related, frozen meat and poultry dollar and unit gains were far lower than in the full-year view.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526"/>
        <w:gridCol w:w="1309"/>
        <w:gridCol w:w="1122"/>
        <w:gridCol w:w="1260"/>
        <w:gridCol w:w="1618"/>
        <w:gridCol w:w="96"/>
        <w:gridCol w:w="1075"/>
        <w:gridCol w:w="1159"/>
      </w:tblGrid>
      <w:tr w:rsidR="00C75C35" w:rsidRPr="00FF7600" w14:paraId="71FC3AC2" w14:textId="77777777" w:rsidTr="00052FAF">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tcBorders>
              <w:bottom w:val="none" w:sz="0" w:space="0" w:color="auto"/>
            </w:tcBorders>
            <w:shd w:val="clear" w:color="auto" w:fill="17365D" w:themeFill="text2" w:themeFillShade="BF"/>
          </w:tcPr>
          <w:p w14:paraId="15EBAC2D" w14:textId="621B42D3" w:rsidR="00C75C35" w:rsidRPr="00FF7600" w:rsidRDefault="00C75C35" w:rsidP="00C75C35">
            <w:pPr>
              <w:pStyle w:val="NoSpacing"/>
              <w:rPr>
                <w:rFonts w:ascii="Arial" w:hAnsi="Arial" w:cs="Arial"/>
                <w:color w:val="FFFFFF" w:themeColor="background1"/>
                <w:sz w:val="18"/>
                <w:szCs w:val="18"/>
              </w:rPr>
            </w:pPr>
          </w:p>
        </w:tc>
        <w:tc>
          <w:tcPr>
            <w:tcW w:w="1816" w:type="pct"/>
            <w:gridSpan w:val="3"/>
            <w:tcBorders>
              <w:bottom w:val="none" w:sz="0" w:space="0" w:color="auto"/>
            </w:tcBorders>
            <w:shd w:val="clear" w:color="auto" w:fill="17365D" w:themeFill="text2" w:themeFillShade="BF"/>
          </w:tcPr>
          <w:p w14:paraId="0D38EDAD" w14:textId="2FB931C3" w:rsidR="00C75C35" w:rsidRPr="00FF7600" w:rsidRDefault="006A6067"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February 2026</w:t>
            </w:r>
          </w:p>
        </w:tc>
        <w:tc>
          <w:tcPr>
            <w:tcW w:w="1942" w:type="pct"/>
            <w:gridSpan w:val="4"/>
            <w:tcBorders>
              <w:bottom w:val="none" w:sz="0" w:space="0" w:color="auto"/>
            </w:tcBorders>
            <w:shd w:val="clear" w:color="auto" w:fill="17365D" w:themeFill="text2" w:themeFillShade="BF"/>
          </w:tcPr>
          <w:p w14:paraId="5C02C995" w14:textId="5FA289CC" w:rsidR="00C75C35" w:rsidRPr="00FF7600" w:rsidRDefault="00C75C35"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052FA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44" w:type="pct"/>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0"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2A6CBA" w:rsidRPr="00E84021" w14:paraId="66677E76" w14:textId="77777777" w:rsidTr="00052FAF">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595959" w:themeFill="text1" w:themeFillTint="A6"/>
          </w:tcPr>
          <w:p w14:paraId="59ADA336" w14:textId="3DF8C1F2" w:rsidR="002A6CBA" w:rsidRPr="00E84021" w:rsidRDefault="002A6CBA" w:rsidP="002A6CBA">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44" w:type="pct"/>
            <w:shd w:val="clear" w:color="auto" w:fill="595959" w:themeFill="text1" w:themeFillTint="A6"/>
          </w:tcPr>
          <w:p w14:paraId="755B3BB6" w14:textId="2755158A"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hAnsi="Arial" w:cs="Arial"/>
                <w:b/>
                <w:bCs/>
                <w:color w:val="FFFFFF" w:themeColor="background1"/>
                <w:sz w:val="18"/>
                <w:szCs w:val="18"/>
              </w:rPr>
              <w:t>$</w:t>
            </w:r>
            <w:r w:rsidR="002C7B87">
              <w:rPr>
                <w:rFonts w:ascii="Arial" w:hAnsi="Arial" w:cs="Arial"/>
                <w:b/>
                <w:bCs/>
                <w:color w:val="FFFFFF" w:themeColor="background1"/>
                <w:sz w:val="18"/>
                <w:szCs w:val="18"/>
              </w:rPr>
              <w:t>6.84</w:t>
            </w:r>
            <w:r>
              <w:rPr>
                <w:rFonts w:ascii="Arial" w:hAnsi="Arial" w:cs="Arial"/>
                <w:b/>
                <w:bCs/>
                <w:color w:val="FFFFFF" w:themeColor="background1"/>
                <w:sz w:val="18"/>
                <w:szCs w:val="18"/>
              </w:rPr>
              <w:t>B</w:t>
            </w:r>
          </w:p>
        </w:tc>
        <w:tc>
          <w:tcPr>
            <w:tcW w:w="552" w:type="pct"/>
            <w:shd w:val="clear" w:color="auto" w:fill="595959" w:themeFill="text1" w:themeFillTint="A6"/>
          </w:tcPr>
          <w:p w14:paraId="480EA0F0" w14:textId="3F14208B"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2C7B87">
              <w:rPr>
                <w:rFonts w:ascii="Arial" w:eastAsia="Times New Roman" w:hAnsi="Arial" w:cs="Arial"/>
                <w:b/>
                <w:bCs/>
                <w:color w:val="FFFFFF" w:themeColor="background1"/>
                <w:sz w:val="18"/>
                <w:szCs w:val="18"/>
              </w:rPr>
              <w:t>1.2</w:t>
            </w:r>
            <w:r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641210E5" w:rsidR="002A6CBA" w:rsidRPr="00E84021" w:rsidRDefault="002C7B87"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-1.4</w:t>
            </w:r>
            <w:r w:rsidR="002A6CBA"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10484D17" w:rsidR="002A6CBA" w:rsidRPr="00E84021" w:rsidRDefault="002A6CBA" w:rsidP="002A6CBA">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7A1CB1">
              <w:rPr>
                <w:rFonts w:ascii="Arial" w:hAnsi="Arial" w:cs="Arial"/>
                <w:b/>
                <w:bCs/>
                <w:color w:val="FFFFFF" w:themeColor="background1"/>
                <w:sz w:val="18"/>
                <w:szCs w:val="18"/>
              </w:rPr>
              <w:t>8</w:t>
            </w:r>
            <w:r w:rsidR="002C7B87">
              <w:rPr>
                <w:rFonts w:ascii="Arial" w:hAnsi="Arial" w:cs="Arial"/>
                <w:b/>
                <w:bCs/>
                <w:color w:val="FFFFFF" w:themeColor="background1"/>
                <w:sz w:val="18"/>
                <w:szCs w:val="18"/>
              </w:rPr>
              <w:t>8.0</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52639DFE"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7A1CB1">
              <w:rPr>
                <w:rFonts w:ascii="Arial" w:hAnsi="Arial" w:cs="Arial"/>
                <w:b/>
                <w:bCs/>
                <w:color w:val="FFFFFF" w:themeColor="background1"/>
                <w:sz w:val="18"/>
                <w:szCs w:val="18"/>
              </w:rPr>
              <w:t>2.0</w:t>
            </w:r>
            <w:r>
              <w:rPr>
                <w:rFonts w:ascii="Arial" w:hAnsi="Arial" w:cs="Arial"/>
                <w:b/>
                <w:bCs/>
                <w:color w:val="FFFFFF" w:themeColor="background1"/>
                <w:sz w:val="18"/>
                <w:szCs w:val="18"/>
              </w:rPr>
              <w:t>%</w:t>
            </w:r>
          </w:p>
        </w:tc>
        <w:tc>
          <w:tcPr>
            <w:tcW w:w="570" w:type="pct"/>
            <w:shd w:val="clear" w:color="auto" w:fill="595959" w:themeFill="text1" w:themeFillTint="A6"/>
          </w:tcPr>
          <w:p w14:paraId="5AF7904B" w14:textId="73A9B197"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7A1CB1">
              <w:rPr>
                <w:rFonts w:ascii="Arial" w:eastAsia="Times New Roman" w:hAnsi="Arial" w:cs="Arial"/>
                <w:b/>
                <w:bCs/>
                <w:color w:val="FFFFFF" w:themeColor="background1"/>
                <w:sz w:val="18"/>
                <w:szCs w:val="18"/>
              </w:rPr>
              <w:t>0.</w:t>
            </w:r>
            <w:r w:rsidR="002C7B87">
              <w:rPr>
                <w:rFonts w:ascii="Arial" w:eastAsia="Times New Roman" w:hAnsi="Arial" w:cs="Arial"/>
                <w:b/>
                <w:bCs/>
                <w:color w:val="FFFFFF" w:themeColor="background1"/>
                <w:sz w:val="18"/>
                <w:szCs w:val="18"/>
              </w:rPr>
              <w:t>1</w:t>
            </w:r>
            <w:r w:rsidRPr="00E84021">
              <w:rPr>
                <w:rFonts w:ascii="Arial" w:eastAsia="Times New Roman" w:hAnsi="Arial" w:cs="Arial"/>
                <w:b/>
                <w:bCs/>
                <w:color w:val="FFFFFF" w:themeColor="background1"/>
                <w:sz w:val="18"/>
                <w:szCs w:val="18"/>
              </w:rPr>
              <w:t>%</w:t>
            </w:r>
          </w:p>
        </w:tc>
      </w:tr>
      <w:tr w:rsidR="002A6CBA" w:rsidRPr="0093290D" w14:paraId="45EE1A0E" w14:textId="77777777" w:rsidTr="00C7536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2F2F2" w:themeFill="background1" w:themeFillShade="F2"/>
          </w:tcPr>
          <w:p w14:paraId="2B6B6051" w14:textId="6D044AB6" w:rsidR="002A6CBA" w:rsidRPr="0093290D" w:rsidRDefault="002A6CBA" w:rsidP="002A6CB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44" w:type="pct"/>
            <w:shd w:val="clear" w:color="auto" w:fill="F2F2F2" w:themeFill="background1" w:themeFillShade="F2"/>
          </w:tcPr>
          <w:p w14:paraId="515AC909" w14:textId="3797F27C"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0DD3">
              <w:rPr>
                <w:rFonts w:ascii="Arial" w:eastAsia="Times New Roman" w:hAnsi="Arial" w:cs="Arial"/>
                <w:color w:val="000000" w:themeColor="text1"/>
                <w:sz w:val="18"/>
                <w:szCs w:val="18"/>
              </w:rPr>
              <w:t>$</w:t>
            </w:r>
            <w:r w:rsidR="002C7B87">
              <w:rPr>
                <w:rFonts w:ascii="Arial" w:eastAsia="Times New Roman" w:hAnsi="Arial" w:cs="Arial"/>
                <w:color w:val="000000" w:themeColor="text1"/>
                <w:sz w:val="18"/>
                <w:szCs w:val="18"/>
              </w:rPr>
              <w:t>2.23</w:t>
            </w:r>
            <w:r w:rsidRPr="00F00DD3">
              <w:rPr>
                <w:rFonts w:ascii="Arial" w:eastAsia="Times New Roman" w:hAnsi="Arial" w:cs="Arial"/>
                <w:color w:val="000000" w:themeColor="text1"/>
                <w:sz w:val="18"/>
                <w:szCs w:val="18"/>
              </w:rPr>
              <w:t>B</w:t>
            </w:r>
          </w:p>
        </w:tc>
        <w:tc>
          <w:tcPr>
            <w:tcW w:w="552" w:type="pct"/>
            <w:shd w:val="clear" w:color="auto" w:fill="F2F2F2" w:themeFill="background1" w:themeFillShade="F2"/>
          </w:tcPr>
          <w:p w14:paraId="22DF2E4C" w14:textId="630CBD80"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2C7B87">
              <w:rPr>
                <w:rFonts w:ascii="Arial" w:hAnsi="Arial" w:cs="Arial"/>
                <w:color w:val="000000" w:themeColor="text1"/>
                <w:sz w:val="18"/>
                <w:szCs w:val="18"/>
              </w:rPr>
              <w:t>2.4</w:t>
            </w:r>
            <w:r w:rsidRPr="00D62C94">
              <w:rPr>
                <w:rFonts w:ascii="Arial" w:hAnsi="Arial" w:cs="Arial"/>
                <w:color w:val="000000" w:themeColor="text1"/>
                <w:sz w:val="18"/>
                <w:szCs w:val="18"/>
              </w:rPr>
              <w:t>%</w:t>
            </w:r>
          </w:p>
        </w:tc>
        <w:tc>
          <w:tcPr>
            <w:tcW w:w="620" w:type="pct"/>
            <w:tcBorders>
              <w:right w:val="single" w:sz="4" w:space="0" w:color="auto"/>
            </w:tcBorders>
            <w:shd w:val="clear" w:color="auto" w:fill="F2F2F2" w:themeFill="background1" w:themeFillShade="F2"/>
          </w:tcPr>
          <w:p w14:paraId="66FFCCC9" w14:textId="45FAA67D"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A7760">
              <w:rPr>
                <w:rFonts w:ascii="Arial" w:hAnsi="Arial" w:cs="Arial"/>
                <w:color w:val="000000" w:themeColor="text1"/>
                <w:sz w:val="18"/>
                <w:szCs w:val="18"/>
              </w:rPr>
              <w:t>-</w:t>
            </w:r>
            <w:r w:rsidR="002C7B87">
              <w:rPr>
                <w:rFonts w:ascii="Arial" w:hAnsi="Arial" w:cs="Arial"/>
                <w:color w:val="000000" w:themeColor="text1"/>
                <w:sz w:val="18"/>
                <w:szCs w:val="18"/>
              </w:rPr>
              <w:t>4.0</w:t>
            </w:r>
            <w:r w:rsidRPr="00CA7760">
              <w:rPr>
                <w:rFonts w:ascii="Arial" w:hAnsi="Arial" w:cs="Arial"/>
                <w:color w:val="000000" w:themeColor="text1"/>
                <w:sz w:val="18"/>
                <w:szCs w:val="18"/>
              </w:rPr>
              <w:t>%</w:t>
            </w:r>
          </w:p>
        </w:tc>
        <w:tc>
          <w:tcPr>
            <w:tcW w:w="796" w:type="pct"/>
            <w:tcBorders>
              <w:left w:val="single" w:sz="4" w:space="0" w:color="auto"/>
            </w:tcBorders>
            <w:shd w:val="clear" w:color="auto" w:fill="F2F2F2" w:themeFill="background1" w:themeFillShade="F2"/>
          </w:tcPr>
          <w:p w14:paraId="7E60172E" w14:textId="5805AEDC"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2C7B87">
              <w:rPr>
                <w:rFonts w:ascii="Arial" w:eastAsia="Times New Roman" w:hAnsi="Arial" w:cs="Arial"/>
                <w:color w:val="000000" w:themeColor="text1"/>
                <w:sz w:val="18"/>
                <w:szCs w:val="18"/>
              </w:rPr>
              <w:t>28.1</w:t>
            </w:r>
            <w:r w:rsidRPr="0035100A">
              <w:rPr>
                <w:rFonts w:ascii="Arial" w:eastAsia="Times New Roman" w:hAnsi="Arial" w:cs="Arial"/>
                <w:color w:val="000000" w:themeColor="text1"/>
                <w:sz w:val="18"/>
                <w:szCs w:val="18"/>
              </w:rPr>
              <w:t>B</w:t>
            </w:r>
          </w:p>
        </w:tc>
        <w:tc>
          <w:tcPr>
            <w:tcW w:w="576" w:type="pct"/>
            <w:gridSpan w:val="2"/>
            <w:shd w:val="clear" w:color="auto" w:fill="F2F2F2" w:themeFill="background1" w:themeFillShade="F2"/>
          </w:tcPr>
          <w:p w14:paraId="47662996" w14:textId="68D768F7"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C4F02">
              <w:rPr>
                <w:rFonts w:ascii="Arial" w:hAnsi="Arial" w:cs="Arial"/>
                <w:color w:val="000000" w:themeColor="text1"/>
                <w:sz w:val="18"/>
                <w:szCs w:val="18"/>
              </w:rPr>
              <w:t>-</w:t>
            </w:r>
            <w:r w:rsidR="007A1CB1">
              <w:rPr>
                <w:rFonts w:ascii="Arial" w:hAnsi="Arial" w:cs="Arial"/>
                <w:color w:val="000000" w:themeColor="text1"/>
                <w:sz w:val="18"/>
                <w:szCs w:val="18"/>
              </w:rPr>
              <w:t>0.</w:t>
            </w:r>
            <w:r w:rsidR="002C7B87">
              <w:rPr>
                <w:rFonts w:ascii="Arial" w:hAnsi="Arial" w:cs="Arial"/>
                <w:color w:val="000000" w:themeColor="text1"/>
                <w:sz w:val="18"/>
                <w:szCs w:val="18"/>
              </w:rPr>
              <w:t>9</w:t>
            </w:r>
            <w:r w:rsidRPr="00FC4F02">
              <w:rPr>
                <w:rFonts w:ascii="Arial" w:hAnsi="Arial" w:cs="Arial"/>
                <w:color w:val="000000" w:themeColor="text1"/>
                <w:sz w:val="18"/>
                <w:szCs w:val="18"/>
              </w:rPr>
              <w:t>%</w:t>
            </w:r>
          </w:p>
        </w:tc>
        <w:tc>
          <w:tcPr>
            <w:tcW w:w="570" w:type="pct"/>
            <w:shd w:val="clear" w:color="auto" w:fill="F2F2F2" w:themeFill="background1" w:themeFillShade="F2"/>
          </w:tcPr>
          <w:p w14:paraId="35562C4B" w14:textId="32A6D43D"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F64D5">
              <w:rPr>
                <w:rFonts w:ascii="Arial" w:hAnsi="Arial" w:cs="Arial"/>
                <w:color w:val="000000" w:themeColor="text1"/>
                <w:sz w:val="18"/>
                <w:szCs w:val="18"/>
              </w:rPr>
              <w:t>-</w:t>
            </w:r>
            <w:r w:rsidR="002C7B87">
              <w:rPr>
                <w:rFonts w:ascii="Arial" w:hAnsi="Arial" w:cs="Arial"/>
                <w:color w:val="000000" w:themeColor="text1"/>
                <w:sz w:val="18"/>
                <w:szCs w:val="18"/>
              </w:rPr>
              <w:t>2.1</w:t>
            </w:r>
            <w:r w:rsidRPr="003F64D5">
              <w:rPr>
                <w:rFonts w:ascii="Arial" w:hAnsi="Arial" w:cs="Arial"/>
                <w:color w:val="000000" w:themeColor="text1"/>
                <w:sz w:val="18"/>
                <w:szCs w:val="18"/>
              </w:rPr>
              <w:t>%</w:t>
            </w:r>
          </w:p>
        </w:tc>
      </w:tr>
      <w:tr w:rsidR="00F82D45" w:rsidRPr="0093290D" w14:paraId="33BAD936" w14:textId="77777777" w:rsidTr="00C75366">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6635218E" w14:textId="47402F1E" w:rsidR="00F82D45" w:rsidRPr="0093290D" w:rsidRDefault="00F82D45" w:rsidP="00F82D45">
            <w:pPr>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w:t>
            </w:r>
          </w:p>
        </w:tc>
        <w:tc>
          <w:tcPr>
            <w:tcW w:w="644" w:type="pct"/>
            <w:shd w:val="clear" w:color="auto" w:fill="FFFFFF" w:themeFill="background1"/>
          </w:tcPr>
          <w:p w14:paraId="1F552D30" w14:textId="037D25A6"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2C7B87">
              <w:rPr>
                <w:rFonts w:ascii="Arial" w:eastAsia="Times New Roman" w:hAnsi="Arial" w:cs="Arial"/>
                <w:color w:val="000000" w:themeColor="text1"/>
                <w:sz w:val="18"/>
                <w:szCs w:val="18"/>
              </w:rPr>
              <w:t>752.4</w:t>
            </w:r>
            <w:r w:rsidRPr="0047625B">
              <w:rPr>
                <w:rFonts w:ascii="Arial" w:eastAsia="Times New Roman" w:hAnsi="Arial" w:cs="Arial"/>
                <w:color w:val="000000" w:themeColor="text1"/>
                <w:sz w:val="18"/>
                <w:szCs w:val="18"/>
              </w:rPr>
              <w:t>M</w:t>
            </w:r>
          </w:p>
        </w:tc>
        <w:tc>
          <w:tcPr>
            <w:tcW w:w="552" w:type="pct"/>
            <w:shd w:val="clear" w:color="auto" w:fill="FFFFFF" w:themeFill="background1"/>
          </w:tcPr>
          <w:p w14:paraId="21B353CB" w14:textId="5F8B67FD"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94E5F">
              <w:rPr>
                <w:rFonts w:ascii="Arial" w:hAnsi="Arial" w:cs="Arial"/>
                <w:color w:val="000000"/>
                <w:sz w:val="18"/>
                <w:szCs w:val="18"/>
              </w:rPr>
              <w:t>+</w:t>
            </w:r>
            <w:r w:rsidR="002C7B87">
              <w:rPr>
                <w:rFonts w:ascii="Arial" w:hAnsi="Arial" w:cs="Arial"/>
                <w:color w:val="000000"/>
                <w:sz w:val="18"/>
                <w:szCs w:val="18"/>
              </w:rPr>
              <w:t>12.7</w:t>
            </w:r>
            <w:r w:rsidRPr="00794E5F">
              <w:rPr>
                <w:rFonts w:ascii="Arial" w:hAnsi="Arial" w:cs="Arial"/>
                <w:color w:val="000000"/>
                <w:sz w:val="18"/>
                <w:szCs w:val="18"/>
              </w:rPr>
              <w:t>%</w:t>
            </w:r>
          </w:p>
        </w:tc>
        <w:tc>
          <w:tcPr>
            <w:tcW w:w="620" w:type="pct"/>
            <w:tcBorders>
              <w:right w:val="single" w:sz="4" w:space="0" w:color="auto"/>
            </w:tcBorders>
            <w:shd w:val="clear" w:color="auto" w:fill="FFFFFF" w:themeFill="background1"/>
          </w:tcPr>
          <w:p w14:paraId="77A265EA" w14:textId="25FDBAAB" w:rsidR="00F82D45" w:rsidRPr="0093290D" w:rsidRDefault="002C7B87"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+4.7</w:t>
            </w:r>
            <w:r w:rsidR="00F82D45" w:rsidRPr="00941A60">
              <w:rPr>
                <w:rFonts w:ascii="Arial" w:hAnsi="Arial" w:cs="Arial"/>
                <w:color w:val="000000" w:themeColor="text1"/>
                <w:sz w:val="18"/>
                <w:szCs w:val="18"/>
              </w:rPr>
              <w:t>%</w:t>
            </w:r>
          </w:p>
        </w:tc>
        <w:tc>
          <w:tcPr>
            <w:tcW w:w="796" w:type="pct"/>
            <w:tcBorders>
              <w:left w:val="single" w:sz="4" w:space="0" w:color="auto"/>
            </w:tcBorders>
            <w:shd w:val="clear" w:color="auto" w:fill="FFFFFF" w:themeFill="background1"/>
          </w:tcPr>
          <w:p w14:paraId="2C2CB3AD" w14:textId="34630527"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2C7B87">
              <w:rPr>
                <w:rFonts w:ascii="Arial" w:eastAsia="Times New Roman" w:hAnsi="Arial" w:cs="Arial"/>
                <w:color w:val="000000" w:themeColor="text1"/>
                <w:sz w:val="18"/>
                <w:szCs w:val="18"/>
              </w:rPr>
              <w:t>8.43</w:t>
            </w:r>
            <w:r w:rsidRPr="0035100A">
              <w:rPr>
                <w:rFonts w:ascii="Arial" w:eastAsia="Times New Roman" w:hAnsi="Arial" w:cs="Arial"/>
                <w:color w:val="000000" w:themeColor="text1"/>
                <w:sz w:val="18"/>
                <w:szCs w:val="18"/>
              </w:rPr>
              <w:t>B</w:t>
            </w:r>
          </w:p>
        </w:tc>
        <w:tc>
          <w:tcPr>
            <w:tcW w:w="576" w:type="pct"/>
            <w:gridSpan w:val="2"/>
            <w:shd w:val="clear" w:color="auto" w:fill="FFFFFF" w:themeFill="background1"/>
          </w:tcPr>
          <w:p w14:paraId="49F5BC74" w14:textId="2A52A7D6"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D008C">
              <w:rPr>
                <w:rFonts w:ascii="Arial" w:hAnsi="Arial" w:cs="Arial"/>
                <w:color w:val="000000"/>
                <w:sz w:val="18"/>
                <w:szCs w:val="18"/>
              </w:rPr>
              <w:t>+</w:t>
            </w:r>
            <w:r w:rsidR="002C7B87">
              <w:rPr>
                <w:rFonts w:ascii="Arial" w:hAnsi="Arial" w:cs="Arial"/>
                <w:color w:val="000000"/>
                <w:sz w:val="18"/>
                <w:szCs w:val="18"/>
              </w:rPr>
              <w:t>3</w:t>
            </w:r>
            <w:r w:rsidR="007A1CB1">
              <w:rPr>
                <w:rFonts w:ascii="Arial" w:hAnsi="Arial" w:cs="Arial"/>
                <w:color w:val="000000"/>
                <w:sz w:val="18"/>
                <w:szCs w:val="18"/>
              </w:rPr>
              <w:t>.6</w:t>
            </w:r>
            <w:r w:rsidRPr="005D008C">
              <w:rPr>
                <w:rFonts w:ascii="Arial" w:hAnsi="Arial" w:cs="Arial"/>
                <w:color w:val="000000"/>
                <w:sz w:val="18"/>
                <w:szCs w:val="18"/>
              </w:rPr>
              <w:t>%</w:t>
            </w:r>
          </w:p>
        </w:tc>
        <w:tc>
          <w:tcPr>
            <w:tcW w:w="570" w:type="pct"/>
            <w:shd w:val="clear" w:color="auto" w:fill="FFFFFF" w:themeFill="background1"/>
          </w:tcPr>
          <w:p w14:paraId="734B885A" w14:textId="7A4A8472" w:rsidR="00F82D45" w:rsidRPr="0093290D" w:rsidRDefault="007A1CB1"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2C7B87">
              <w:rPr>
                <w:rFonts w:ascii="Arial" w:hAnsi="Arial" w:cs="Arial"/>
                <w:color w:val="000000"/>
                <w:sz w:val="18"/>
                <w:szCs w:val="18"/>
              </w:rPr>
              <w:t>1.1</w:t>
            </w:r>
            <w:r w:rsidR="00F82D45" w:rsidRPr="00BD4589">
              <w:rPr>
                <w:rFonts w:ascii="Arial" w:hAnsi="Arial" w:cs="Arial"/>
                <w:color w:val="000000"/>
                <w:sz w:val="18"/>
                <w:szCs w:val="18"/>
              </w:rPr>
              <w:t>%</w:t>
            </w:r>
          </w:p>
        </w:tc>
      </w:tr>
      <w:tr w:rsidR="00C75366" w:rsidRPr="0093290D" w14:paraId="4C7ECB7E" w14:textId="77777777" w:rsidTr="00C7536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2F2F2" w:themeFill="background1" w:themeFillShade="F2"/>
          </w:tcPr>
          <w:p w14:paraId="099371DC" w14:textId="77777777" w:rsidR="00C75366" w:rsidRPr="0093290D" w:rsidRDefault="00C75366" w:rsidP="009B454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 xml:space="preserve"> and poultry</w:t>
            </w:r>
          </w:p>
        </w:tc>
        <w:tc>
          <w:tcPr>
            <w:tcW w:w="644" w:type="pct"/>
            <w:shd w:val="clear" w:color="auto" w:fill="F2F2F2" w:themeFill="background1" w:themeFillShade="F2"/>
          </w:tcPr>
          <w:p w14:paraId="7883AA02" w14:textId="77777777" w:rsidR="00C75366" w:rsidRPr="0093290D" w:rsidRDefault="00C75366" w:rsidP="009B454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719.7</w:t>
            </w:r>
            <w:r w:rsidRPr="0047625B">
              <w:rPr>
                <w:rFonts w:ascii="Arial" w:eastAsia="Times New Roman" w:hAnsi="Arial" w:cs="Arial"/>
                <w:color w:val="000000" w:themeColor="text1"/>
                <w:sz w:val="18"/>
                <w:szCs w:val="18"/>
              </w:rPr>
              <w:t>M</w:t>
            </w:r>
          </w:p>
        </w:tc>
        <w:tc>
          <w:tcPr>
            <w:tcW w:w="552" w:type="pct"/>
            <w:shd w:val="clear" w:color="auto" w:fill="F2F2F2" w:themeFill="background1" w:themeFillShade="F2"/>
          </w:tcPr>
          <w:p w14:paraId="6E1E0B8E" w14:textId="77777777" w:rsidR="00C75366" w:rsidRPr="0093290D" w:rsidRDefault="00C75366" w:rsidP="009B454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94E5F">
              <w:rPr>
                <w:rFonts w:ascii="Arial" w:hAnsi="Arial" w:cs="Arial"/>
                <w:color w:val="000000"/>
                <w:sz w:val="18"/>
                <w:szCs w:val="18"/>
              </w:rPr>
              <w:t>+</w:t>
            </w:r>
            <w:r>
              <w:rPr>
                <w:rFonts w:ascii="Arial" w:hAnsi="Arial" w:cs="Arial"/>
                <w:color w:val="000000"/>
                <w:sz w:val="18"/>
                <w:szCs w:val="18"/>
              </w:rPr>
              <w:t>3.1</w:t>
            </w:r>
            <w:r w:rsidRPr="00794E5F">
              <w:rPr>
                <w:rFonts w:ascii="Arial" w:hAnsi="Arial" w:cs="Arial"/>
                <w:color w:val="000000"/>
                <w:sz w:val="18"/>
                <w:szCs w:val="18"/>
              </w:rPr>
              <w:t>%</w:t>
            </w:r>
          </w:p>
        </w:tc>
        <w:tc>
          <w:tcPr>
            <w:tcW w:w="620" w:type="pct"/>
            <w:tcBorders>
              <w:right w:val="single" w:sz="4" w:space="0" w:color="auto"/>
            </w:tcBorders>
            <w:shd w:val="clear" w:color="auto" w:fill="F2F2F2" w:themeFill="background1" w:themeFillShade="F2"/>
          </w:tcPr>
          <w:p w14:paraId="11AE381B" w14:textId="77777777" w:rsidR="00C75366" w:rsidRPr="0093290D" w:rsidRDefault="00C75366" w:rsidP="009B454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D11FD">
              <w:rPr>
                <w:rFonts w:ascii="Arial" w:hAnsi="Arial" w:cs="Arial"/>
                <w:color w:val="000000" w:themeColor="text1"/>
                <w:sz w:val="18"/>
                <w:szCs w:val="18"/>
              </w:rPr>
              <w:t>+</w:t>
            </w:r>
            <w:r>
              <w:rPr>
                <w:rFonts w:ascii="Arial" w:hAnsi="Arial" w:cs="Arial"/>
                <w:color w:val="000000" w:themeColor="text1"/>
                <w:sz w:val="18"/>
                <w:szCs w:val="18"/>
              </w:rPr>
              <w:t>2.2</w:t>
            </w:r>
            <w:r w:rsidRPr="003D11FD">
              <w:rPr>
                <w:rFonts w:ascii="Arial" w:hAnsi="Arial" w:cs="Arial"/>
                <w:color w:val="000000" w:themeColor="text1"/>
                <w:sz w:val="18"/>
                <w:szCs w:val="18"/>
              </w:rPr>
              <w:t>%</w:t>
            </w:r>
          </w:p>
        </w:tc>
        <w:tc>
          <w:tcPr>
            <w:tcW w:w="796" w:type="pct"/>
            <w:tcBorders>
              <w:left w:val="single" w:sz="4" w:space="0" w:color="auto"/>
            </w:tcBorders>
            <w:shd w:val="clear" w:color="auto" w:fill="F2F2F2" w:themeFill="background1" w:themeFillShade="F2"/>
          </w:tcPr>
          <w:p w14:paraId="63AB1E7A" w14:textId="77777777" w:rsidR="00C75366" w:rsidRPr="0093290D" w:rsidRDefault="00C75366" w:rsidP="009B454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8.69</w:t>
            </w:r>
            <w:r w:rsidRPr="0035100A">
              <w:rPr>
                <w:rFonts w:ascii="Arial" w:eastAsia="Times New Roman" w:hAnsi="Arial" w:cs="Arial"/>
                <w:color w:val="000000" w:themeColor="text1"/>
                <w:sz w:val="18"/>
                <w:szCs w:val="18"/>
              </w:rPr>
              <w:t>B</w:t>
            </w:r>
          </w:p>
        </w:tc>
        <w:tc>
          <w:tcPr>
            <w:tcW w:w="576" w:type="pct"/>
            <w:gridSpan w:val="2"/>
            <w:shd w:val="clear" w:color="auto" w:fill="F2F2F2" w:themeFill="background1" w:themeFillShade="F2"/>
          </w:tcPr>
          <w:p w14:paraId="36BD10C7" w14:textId="77777777" w:rsidR="00C75366" w:rsidRPr="0093290D" w:rsidRDefault="00C75366" w:rsidP="009B454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D008C">
              <w:rPr>
                <w:rFonts w:ascii="Arial" w:hAnsi="Arial" w:cs="Arial"/>
                <w:color w:val="000000"/>
                <w:sz w:val="18"/>
                <w:szCs w:val="18"/>
              </w:rPr>
              <w:t>+</w:t>
            </w:r>
            <w:r>
              <w:rPr>
                <w:rFonts w:ascii="Arial" w:hAnsi="Arial" w:cs="Arial"/>
                <w:color w:val="000000"/>
                <w:sz w:val="18"/>
                <w:szCs w:val="18"/>
              </w:rPr>
              <w:t>8.3</w:t>
            </w:r>
            <w:r w:rsidRPr="005D008C">
              <w:rPr>
                <w:rFonts w:ascii="Arial" w:hAnsi="Arial" w:cs="Arial"/>
                <w:color w:val="000000"/>
                <w:sz w:val="18"/>
                <w:szCs w:val="18"/>
              </w:rPr>
              <w:t>%</w:t>
            </w:r>
          </w:p>
        </w:tc>
        <w:tc>
          <w:tcPr>
            <w:tcW w:w="570" w:type="pct"/>
            <w:shd w:val="clear" w:color="auto" w:fill="F2F2F2" w:themeFill="background1" w:themeFillShade="F2"/>
          </w:tcPr>
          <w:p w14:paraId="0E396FB2" w14:textId="77777777" w:rsidR="00C75366" w:rsidRPr="0093290D" w:rsidRDefault="00C75366" w:rsidP="009B454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D4589">
              <w:rPr>
                <w:rFonts w:ascii="Arial" w:hAnsi="Arial" w:cs="Arial"/>
                <w:color w:val="000000"/>
                <w:sz w:val="18"/>
                <w:szCs w:val="18"/>
              </w:rPr>
              <w:t>+</w:t>
            </w:r>
            <w:r>
              <w:rPr>
                <w:rFonts w:ascii="Arial" w:hAnsi="Arial" w:cs="Arial"/>
                <w:color w:val="000000"/>
                <w:sz w:val="18"/>
                <w:szCs w:val="18"/>
              </w:rPr>
              <w:t>6.5</w:t>
            </w:r>
            <w:r w:rsidRPr="00BD4589">
              <w:rPr>
                <w:rFonts w:ascii="Arial" w:hAnsi="Arial" w:cs="Arial"/>
                <w:color w:val="000000"/>
                <w:sz w:val="18"/>
                <w:szCs w:val="18"/>
              </w:rPr>
              <w:t>%</w:t>
            </w:r>
          </w:p>
        </w:tc>
      </w:tr>
      <w:tr w:rsidR="00F82D45" w:rsidRPr="0093290D" w14:paraId="58CCACA8" w14:textId="77777777" w:rsidTr="00C75366">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5537AC12" w14:textId="350D44F5" w:rsidR="00F82D45" w:rsidRPr="0093290D" w:rsidRDefault="00F82D45" w:rsidP="00F82D45">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44" w:type="pct"/>
            <w:shd w:val="clear" w:color="auto" w:fill="FFFFFF" w:themeFill="background1"/>
          </w:tcPr>
          <w:p w14:paraId="53D10B60" w14:textId="3F6AA7DC"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2C7B87">
              <w:rPr>
                <w:rFonts w:ascii="Arial" w:eastAsia="Times New Roman" w:hAnsi="Arial" w:cs="Arial"/>
                <w:color w:val="000000" w:themeColor="text1"/>
                <w:sz w:val="18"/>
                <w:szCs w:val="18"/>
              </w:rPr>
              <w:t>494.5</w:t>
            </w:r>
            <w:r w:rsidRPr="0047625B">
              <w:rPr>
                <w:rFonts w:ascii="Arial" w:eastAsia="Times New Roman" w:hAnsi="Arial" w:cs="Arial"/>
                <w:color w:val="000000" w:themeColor="text1"/>
                <w:sz w:val="18"/>
                <w:szCs w:val="18"/>
              </w:rPr>
              <w:t>M</w:t>
            </w:r>
          </w:p>
        </w:tc>
        <w:tc>
          <w:tcPr>
            <w:tcW w:w="552" w:type="pct"/>
            <w:shd w:val="clear" w:color="auto" w:fill="FFFFFF" w:themeFill="background1"/>
          </w:tcPr>
          <w:p w14:paraId="15AE4934" w14:textId="75EE5A61"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94E5F">
              <w:rPr>
                <w:rFonts w:ascii="Arial" w:hAnsi="Arial" w:cs="Arial"/>
                <w:color w:val="000000"/>
                <w:sz w:val="18"/>
                <w:szCs w:val="18"/>
              </w:rPr>
              <w:t>+</w:t>
            </w:r>
            <w:r w:rsidR="002C7B87">
              <w:rPr>
                <w:rFonts w:ascii="Arial" w:hAnsi="Arial" w:cs="Arial"/>
                <w:color w:val="000000"/>
                <w:sz w:val="18"/>
                <w:szCs w:val="18"/>
              </w:rPr>
              <w:t>1.5</w:t>
            </w:r>
            <w:r w:rsidRPr="00794E5F">
              <w:rPr>
                <w:rFonts w:ascii="Arial" w:hAnsi="Arial" w:cs="Arial"/>
                <w:color w:val="000000"/>
                <w:sz w:val="18"/>
                <w:szCs w:val="18"/>
              </w:rPr>
              <w:t>%</w:t>
            </w:r>
          </w:p>
        </w:tc>
        <w:tc>
          <w:tcPr>
            <w:tcW w:w="620" w:type="pct"/>
            <w:tcBorders>
              <w:right w:val="single" w:sz="4" w:space="0" w:color="auto"/>
            </w:tcBorders>
            <w:shd w:val="clear" w:color="auto" w:fill="FFFFFF" w:themeFill="background1"/>
          </w:tcPr>
          <w:p w14:paraId="5A3B15DF" w14:textId="544B0ED3" w:rsidR="00F82D45" w:rsidRPr="0093290D" w:rsidRDefault="002C7B87" w:rsidP="00F82D4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-3.7</w:t>
            </w:r>
            <w:r w:rsidR="00F82D45" w:rsidRPr="003D11FD">
              <w:rPr>
                <w:rFonts w:ascii="Arial" w:hAnsi="Arial" w:cs="Arial"/>
                <w:color w:val="000000" w:themeColor="text1"/>
                <w:sz w:val="18"/>
                <w:szCs w:val="18"/>
              </w:rPr>
              <w:t>%</w:t>
            </w:r>
          </w:p>
        </w:tc>
        <w:tc>
          <w:tcPr>
            <w:tcW w:w="796" w:type="pct"/>
            <w:tcBorders>
              <w:left w:val="single" w:sz="4" w:space="0" w:color="auto"/>
            </w:tcBorders>
            <w:shd w:val="clear" w:color="auto" w:fill="FFFFFF" w:themeFill="background1"/>
          </w:tcPr>
          <w:p w14:paraId="27C2FEE1" w14:textId="0DFB05CE"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2C7B87">
              <w:rPr>
                <w:rFonts w:ascii="Arial" w:eastAsia="Times New Roman" w:hAnsi="Arial" w:cs="Arial"/>
                <w:color w:val="000000" w:themeColor="text1"/>
                <w:sz w:val="18"/>
                <w:szCs w:val="18"/>
              </w:rPr>
              <w:t>6.56</w:t>
            </w:r>
            <w:r w:rsidRPr="0035100A">
              <w:rPr>
                <w:rFonts w:ascii="Arial" w:eastAsia="Times New Roman" w:hAnsi="Arial" w:cs="Arial"/>
                <w:color w:val="000000" w:themeColor="text1"/>
                <w:sz w:val="18"/>
                <w:szCs w:val="18"/>
              </w:rPr>
              <w:t>B</w:t>
            </w:r>
          </w:p>
        </w:tc>
        <w:tc>
          <w:tcPr>
            <w:tcW w:w="576" w:type="pct"/>
            <w:gridSpan w:val="2"/>
            <w:shd w:val="clear" w:color="auto" w:fill="FFFFFF" w:themeFill="background1"/>
          </w:tcPr>
          <w:p w14:paraId="7EB8C2AB" w14:textId="7A15DD95"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D008C">
              <w:rPr>
                <w:rFonts w:ascii="Arial" w:hAnsi="Arial" w:cs="Arial"/>
                <w:color w:val="000000"/>
                <w:sz w:val="18"/>
                <w:szCs w:val="18"/>
              </w:rPr>
              <w:t>+</w:t>
            </w:r>
            <w:r w:rsidR="007A1CB1">
              <w:rPr>
                <w:rFonts w:ascii="Arial" w:hAnsi="Arial" w:cs="Arial"/>
                <w:color w:val="000000"/>
                <w:sz w:val="18"/>
                <w:szCs w:val="18"/>
              </w:rPr>
              <w:t>4.</w:t>
            </w:r>
            <w:r w:rsidR="002C7B87">
              <w:rPr>
                <w:rFonts w:ascii="Arial" w:hAnsi="Arial" w:cs="Arial"/>
                <w:color w:val="000000"/>
                <w:sz w:val="18"/>
                <w:szCs w:val="18"/>
              </w:rPr>
              <w:t>5</w:t>
            </w:r>
            <w:r w:rsidRPr="005D008C">
              <w:rPr>
                <w:rFonts w:ascii="Arial" w:hAnsi="Arial" w:cs="Arial"/>
                <w:color w:val="000000"/>
                <w:sz w:val="18"/>
                <w:szCs w:val="18"/>
              </w:rPr>
              <w:t>%</w:t>
            </w:r>
          </w:p>
        </w:tc>
        <w:tc>
          <w:tcPr>
            <w:tcW w:w="570" w:type="pct"/>
            <w:shd w:val="clear" w:color="auto" w:fill="FFFFFF" w:themeFill="background1"/>
          </w:tcPr>
          <w:p w14:paraId="11111E86" w14:textId="190248E3"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D4589">
              <w:rPr>
                <w:rFonts w:ascii="Arial" w:hAnsi="Arial" w:cs="Arial"/>
                <w:color w:val="000000"/>
                <w:sz w:val="18"/>
                <w:szCs w:val="18"/>
              </w:rPr>
              <w:t>+</w:t>
            </w:r>
            <w:r w:rsidR="007A1CB1">
              <w:rPr>
                <w:rFonts w:ascii="Arial" w:hAnsi="Arial" w:cs="Arial"/>
                <w:color w:val="000000"/>
                <w:sz w:val="18"/>
                <w:szCs w:val="18"/>
              </w:rPr>
              <w:t>2.</w:t>
            </w:r>
            <w:r w:rsidR="002C7B87">
              <w:rPr>
                <w:rFonts w:ascii="Arial" w:hAnsi="Arial" w:cs="Arial"/>
                <w:color w:val="000000"/>
                <w:sz w:val="18"/>
                <w:szCs w:val="18"/>
              </w:rPr>
              <w:t>0</w:t>
            </w:r>
            <w:r w:rsidRPr="00BD4589">
              <w:rPr>
                <w:rFonts w:ascii="Arial" w:hAnsi="Arial" w:cs="Arial"/>
                <w:color w:val="000000"/>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Source: Circana,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481CAC07" w:rsidR="00F97C2B" w:rsidRDefault="00EF4667" w:rsidP="004970F6">
      <w:pPr>
        <w:pStyle w:val="NoSpacing"/>
        <w:rPr>
          <w:rFonts w:ascii="Arial" w:hAnsi="Arial" w:cs="Arial"/>
          <w:color w:val="000000" w:themeColor="text1"/>
          <w:sz w:val="20"/>
          <w:szCs w:val="20"/>
        </w:rPr>
      </w:pPr>
      <w:r>
        <w:rPr>
          <w:rFonts w:ascii="Arial" w:hAnsi="Arial" w:cs="Arial"/>
          <w:color w:val="000000" w:themeColor="text1"/>
          <w:sz w:val="20"/>
          <w:szCs w:val="20"/>
        </w:rPr>
        <w:t>Frozen finfish also had a far better performance than frozen shellfis</w:t>
      </w:r>
      <w:r w:rsidR="000319F3">
        <w:rPr>
          <w:rFonts w:ascii="Arial" w:hAnsi="Arial" w:cs="Arial"/>
          <w:color w:val="000000" w:themeColor="text1"/>
          <w:sz w:val="20"/>
          <w:szCs w:val="20"/>
        </w:rPr>
        <w:t>h</w:t>
      </w:r>
      <w:r>
        <w:rPr>
          <w:rFonts w:ascii="Arial" w:hAnsi="Arial" w:cs="Arial"/>
          <w:color w:val="000000" w:themeColor="text1"/>
          <w:sz w:val="20"/>
          <w:szCs w:val="20"/>
        </w:rPr>
        <w:t>. Frozen seafood alternative sales continued to decline year-over-year</w:t>
      </w:r>
      <w:r w:rsidR="007148BD">
        <w:rPr>
          <w:rFonts w:ascii="Arial" w:hAnsi="Arial" w:cs="Arial"/>
          <w:color w:val="000000" w:themeColor="text1"/>
          <w:sz w:val="20"/>
          <w:szCs w:val="20"/>
        </w:rPr>
        <w:t>, mirroring the weak performance of meat alternatives</w:t>
      </w:r>
      <w:r w:rsidR="009A4E52">
        <w:rPr>
          <w:rFonts w:ascii="Arial" w:hAnsi="Arial" w:cs="Arial"/>
          <w:color w:val="000000" w:themeColor="text1"/>
          <w:sz w:val="20"/>
          <w:szCs w:val="20"/>
        </w:rPr>
        <w:t xml:space="preserve">.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892" w:type="dxa"/>
        <w:tblBorders>
          <w:top w:val="none" w:sz="0" w:space="0" w:color="auto"/>
          <w:bottom w:val="none" w:sz="0" w:space="0" w:color="auto"/>
        </w:tblBorders>
        <w:tblLayout w:type="fixed"/>
        <w:tblLook w:val="04A0" w:firstRow="1" w:lastRow="0" w:firstColumn="1" w:lastColumn="0" w:noHBand="0" w:noVBand="1"/>
      </w:tblPr>
      <w:tblGrid>
        <w:gridCol w:w="1133"/>
        <w:gridCol w:w="23"/>
        <w:gridCol w:w="725"/>
        <w:gridCol w:w="645"/>
        <w:gridCol w:w="645"/>
        <w:gridCol w:w="645"/>
        <w:gridCol w:w="652"/>
        <w:gridCol w:w="720"/>
        <w:gridCol w:w="864"/>
        <w:gridCol w:w="772"/>
        <w:gridCol w:w="727"/>
        <w:gridCol w:w="864"/>
        <w:gridCol w:w="720"/>
        <w:gridCol w:w="864"/>
        <w:gridCol w:w="893"/>
      </w:tblGrid>
      <w:tr w:rsidR="007148BD" w:rsidRPr="00124BCF" w14:paraId="045CB233" w14:textId="77777777" w:rsidTr="007148BD">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133" w:type="dxa"/>
            <w:shd w:val="clear" w:color="auto" w:fill="17365D" w:themeFill="text2" w:themeFillShade="BF"/>
          </w:tcPr>
          <w:p w14:paraId="382655BC" w14:textId="77777777" w:rsidR="007148BD" w:rsidRPr="007148BD" w:rsidRDefault="007148BD" w:rsidP="00CC0A0D">
            <w:pPr>
              <w:pStyle w:val="NoSpacing"/>
              <w:rPr>
                <w:rFonts w:ascii="Arial" w:hAnsi="Arial" w:cs="Arial"/>
                <w:color w:val="FFFFFF" w:themeColor="background1"/>
                <w:sz w:val="16"/>
                <w:szCs w:val="16"/>
              </w:rPr>
            </w:pPr>
            <w:r w:rsidRPr="007148BD">
              <w:rPr>
                <w:rFonts w:ascii="Arial" w:hAnsi="Arial" w:cs="Arial"/>
                <w:color w:val="FFFFFF" w:themeColor="background1"/>
                <w:sz w:val="16"/>
                <w:szCs w:val="16"/>
              </w:rPr>
              <w:t>Dollar sales</w:t>
            </w:r>
          </w:p>
        </w:tc>
        <w:tc>
          <w:tcPr>
            <w:tcW w:w="748" w:type="dxa"/>
            <w:gridSpan w:val="2"/>
            <w:shd w:val="clear" w:color="auto" w:fill="17365D" w:themeFill="text2" w:themeFillShade="BF"/>
            <w:vAlign w:val="center"/>
          </w:tcPr>
          <w:p w14:paraId="31B3EF87" w14:textId="77777777" w:rsidR="007148BD" w:rsidRPr="007148BD" w:rsidRDefault="007148BD" w:rsidP="007148B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2020</w:t>
            </w:r>
          </w:p>
        </w:tc>
        <w:tc>
          <w:tcPr>
            <w:tcW w:w="645" w:type="dxa"/>
            <w:shd w:val="clear" w:color="auto" w:fill="17365D" w:themeFill="text2" w:themeFillShade="BF"/>
            <w:vAlign w:val="center"/>
          </w:tcPr>
          <w:p w14:paraId="5EF8ECE7"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2021</w:t>
            </w:r>
          </w:p>
        </w:tc>
        <w:tc>
          <w:tcPr>
            <w:tcW w:w="645" w:type="dxa"/>
            <w:shd w:val="clear" w:color="auto" w:fill="17365D" w:themeFill="text2" w:themeFillShade="BF"/>
            <w:vAlign w:val="center"/>
          </w:tcPr>
          <w:p w14:paraId="0EA5321D"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2022</w:t>
            </w:r>
          </w:p>
        </w:tc>
        <w:tc>
          <w:tcPr>
            <w:tcW w:w="645" w:type="dxa"/>
            <w:shd w:val="clear" w:color="auto" w:fill="17365D" w:themeFill="text2" w:themeFillShade="BF"/>
            <w:vAlign w:val="center"/>
          </w:tcPr>
          <w:p w14:paraId="72802DFE"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2023</w:t>
            </w:r>
          </w:p>
        </w:tc>
        <w:tc>
          <w:tcPr>
            <w:tcW w:w="652" w:type="dxa"/>
            <w:shd w:val="clear" w:color="auto" w:fill="17365D" w:themeFill="text2" w:themeFillShade="BF"/>
            <w:vAlign w:val="center"/>
          </w:tcPr>
          <w:p w14:paraId="3A71509A"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2024</w:t>
            </w:r>
          </w:p>
        </w:tc>
        <w:tc>
          <w:tcPr>
            <w:tcW w:w="720" w:type="dxa"/>
            <w:shd w:val="clear" w:color="auto" w:fill="17365D" w:themeFill="text2" w:themeFillShade="BF"/>
            <w:vAlign w:val="center"/>
          </w:tcPr>
          <w:p w14:paraId="14E502EF" w14:textId="1988D292"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2025</w:t>
            </w:r>
          </w:p>
        </w:tc>
        <w:tc>
          <w:tcPr>
            <w:tcW w:w="864" w:type="dxa"/>
            <w:shd w:val="clear" w:color="auto" w:fill="17365D" w:themeFill="text2" w:themeFillShade="BF"/>
            <w:vAlign w:val="center"/>
          </w:tcPr>
          <w:p w14:paraId="63A8018E" w14:textId="0FB459C8"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Q1 25</w:t>
            </w:r>
          </w:p>
        </w:tc>
        <w:tc>
          <w:tcPr>
            <w:tcW w:w="772" w:type="dxa"/>
            <w:shd w:val="clear" w:color="auto" w:fill="17365D" w:themeFill="text2" w:themeFillShade="BF"/>
            <w:vAlign w:val="center"/>
          </w:tcPr>
          <w:p w14:paraId="3F5082FF" w14:textId="25A27506"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Q2 25</w:t>
            </w:r>
          </w:p>
        </w:tc>
        <w:tc>
          <w:tcPr>
            <w:tcW w:w="727" w:type="dxa"/>
            <w:shd w:val="clear" w:color="auto" w:fill="17365D" w:themeFill="text2" w:themeFillShade="BF"/>
            <w:vAlign w:val="center"/>
          </w:tcPr>
          <w:p w14:paraId="1447142C" w14:textId="55BF802D"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Q3 25</w:t>
            </w:r>
          </w:p>
        </w:tc>
        <w:tc>
          <w:tcPr>
            <w:tcW w:w="864" w:type="dxa"/>
            <w:shd w:val="clear" w:color="auto" w:fill="17365D" w:themeFill="text2" w:themeFillShade="BF"/>
            <w:vAlign w:val="center"/>
          </w:tcPr>
          <w:p w14:paraId="76DFEE46" w14:textId="566F9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Q4 25</w:t>
            </w:r>
          </w:p>
        </w:tc>
        <w:tc>
          <w:tcPr>
            <w:tcW w:w="720" w:type="dxa"/>
            <w:shd w:val="clear" w:color="auto" w:fill="17365D" w:themeFill="text2" w:themeFillShade="BF"/>
            <w:vAlign w:val="center"/>
          </w:tcPr>
          <w:p w14:paraId="0EBE4562" w14:textId="56DFF75D" w:rsidR="007148BD" w:rsidRPr="007148BD" w:rsidRDefault="006A6067"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Pr>
                <w:rFonts w:ascii="Arial" w:hAnsi="Arial" w:cs="Arial"/>
                <w:bCs w:val="0"/>
                <w:color w:val="FFFFFF" w:themeColor="background1"/>
                <w:sz w:val="16"/>
                <w:szCs w:val="16"/>
              </w:rPr>
              <w:t>Feb</w:t>
            </w:r>
            <w:r w:rsidR="00F82D45">
              <w:rPr>
                <w:rFonts w:ascii="Arial" w:hAnsi="Arial" w:cs="Arial"/>
                <w:bCs w:val="0"/>
                <w:color w:val="FFFFFF" w:themeColor="background1"/>
                <w:sz w:val="16"/>
                <w:szCs w:val="16"/>
              </w:rPr>
              <w:t xml:space="preserve"> ‘26</w:t>
            </w:r>
          </w:p>
        </w:tc>
        <w:tc>
          <w:tcPr>
            <w:tcW w:w="864" w:type="dxa"/>
            <w:shd w:val="clear" w:color="auto" w:fill="17365D" w:themeFill="text2" w:themeFillShade="BF"/>
            <w:vAlign w:val="center"/>
          </w:tcPr>
          <w:p w14:paraId="347884CA"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 </w:t>
            </w:r>
            <w:r w:rsidRPr="007148BD">
              <w:rPr>
                <w:rFonts w:ascii="Arial" w:hAnsi="Arial" w:cs="Arial"/>
                <w:bCs w:val="0"/>
                <w:color w:val="FFFFFF" w:themeColor="background1"/>
                <w:sz w:val="16"/>
                <w:szCs w:val="16"/>
              </w:rPr>
              <w:br/>
              <w:t>vs YA</w:t>
            </w:r>
          </w:p>
        </w:tc>
        <w:tc>
          <w:tcPr>
            <w:tcW w:w="893" w:type="dxa"/>
            <w:shd w:val="clear" w:color="auto" w:fill="17365D" w:themeFill="text2" w:themeFillShade="BF"/>
            <w:vAlign w:val="center"/>
          </w:tcPr>
          <w:p w14:paraId="0E8AF81A"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Pounds </w:t>
            </w:r>
            <w:r w:rsidRPr="007148BD">
              <w:rPr>
                <w:rFonts w:ascii="Arial" w:hAnsi="Arial" w:cs="Arial"/>
                <w:bCs w:val="0"/>
                <w:color w:val="FFFFFF" w:themeColor="background1"/>
                <w:sz w:val="16"/>
                <w:szCs w:val="16"/>
              </w:rPr>
              <w:br/>
              <w:t>vs YA</w:t>
            </w:r>
          </w:p>
        </w:tc>
      </w:tr>
      <w:tr w:rsidR="007148BD" w:rsidRPr="000562A3" w14:paraId="4371B11D" w14:textId="77777777" w:rsidTr="001E07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595959" w:themeFill="text1" w:themeFillTint="A6"/>
            <w:vAlign w:val="center"/>
          </w:tcPr>
          <w:p w14:paraId="732CFD34" w14:textId="0F89DF46" w:rsidR="007148BD" w:rsidRPr="007148BD" w:rsidRDefault="007148BD" w:rsidP="00992897">
            <w:pPr>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Fz seafood</w:t>
            </w:r>
          </w:p>
        </w:tc>
        <w:tc>
          <w:tcPr>
            <w:tcW w:w="725" w:type="dxa"/>
            <w:shd w:val="clear" w:color="auto" w:fill="595959" w:themeFill="text1" w:themeFillTint="A6"/>
            <w:vAlign w:val="center"/>
          </w:tcPr>
          <w:p w14:paraId="1FFABA50"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+38%</w:t>
            </w:r>
          </w:p>
        </w:tc>
        <w:tc>
          <w:tcPr>
            <w:tcW w:w="645" w:type="dxa"/>
            <w:shd w:val="clear" w:color="auto" w:fill="595959" w:themeFill="text1" w:themeFillTint="A6"/>
            <w:vAlign w:val="center"/>
          </w:tcPr>
          <w:p w14:paraId="70CA63CE"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+2%</w:t>
            </w:r>
          </w:p>
        </w:tc>
        <w:tc>
          <w:tcPr>
            <w:tcW w:w="645" w:type="dxa"/>
            <w:shd w:val="clear" w:color="auto" w:fill="595959" w:themeFill="text1" w:themeFillTint="A6"/>
            <w:vAlign w:val="center"/>
          </w:tcPr>
          <w:p w14:paraId="1F63C063"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bCs/>
                <w:color w:val="FFFFFF" w:themeColor="background1"/>
                <w:sz w:val="16"/>
                <w:szCs w:val="16"/>
              </w:rPr>
              <w:t>-1%</w:t>
            </w:r>
          </w:p>
        </w:tc>
        <w:tc>
          <w:tcPr>
            <w:tcW w:w="645" w:type="dxa"/>
            <w:shd w:val="clear" w:color="auto" w:fill="595959" w:themeFill="text1" w:themeFillTint="A6"/>
            <w:vAlign w:val="center"/>
          </w:tcPr>
          <w:p w14:paraId="50D854D4"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-4%</w:t>
            </w:r>
          </w:p>
        </w:tc>
        <w:tc>
          <w:tcPr>
            <w:tcW w:w="652" w:type="dxa"/>
            <w:shd w:val="clear" w:color="auto" w:fill="595959" w:themeFill="text1" w:themeFillTint="A6"/>
            <w:vAlign w:val="center"/>
          </w:tcPr>
          <w:p w14:paraId="163B3211" w14:textId="44A056F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sidRPr="007148BD">
              <w:rPr>
                <w:rFonts w:ascii="Arial" w:eastAsia="Times New Roman" w:hAnsi="Arial" w:cs="Arial"/>
                <w:color w:val="FFFFFF" w:themeColor="background1"/>
                <w:sz w:val="16"/>
                <w:szCs w:val="16"/>
              </w:rPr>
              <w:t>-3%</w:t>
            </w:r>
          </w:p>
        </w:tc>
        <w:tc>
          <w:tcPr>
            <w:tcW w:w="720" w:type="dxa"/>
            <w:shd w:val="clear" w:color="auto" w:fill="595959" w:themeFill="text1" w:themeFillTint="A6"/>
            <w:vAlign w:val="center"/>
          </w:tcPr>
          <w:p w14:paraId="287077F2" w14:textId="54699AA9"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+1%</w:t>
            </w:r>
          </w:p>
        </w:tc>
        <w:tc>
          <w:tcPr>
            <w:tcW w:w="864" w:type="dxa"/>
            <w:shd w:val="clear" w:color="auto" w:fill="595959" w:themeFill="text1" w:themeFillTint="A6"/>
            <w:vAlign w:val="center"/>
          </w:tcPr>
          <w:p w14:paraId="14949B0B" w14:textId="30AE43EC"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-0.1%</w:t>
            </w:r>
          </w:p>
        </w:tc>
        <w:tc>
          <w:tcPr>
            <w:tcW w:w="772" w:type="dxa"/>
            <w:shd w:val="clear" w:color="auto" w:fill="595959" w:themeFill="text1" w:themeFillTint="A6"/>
            <w:vAlign w:val="center"/>
          </w:tcPr>
          <w:p w14:paraId="240CA866" w14:textId="639DE26A"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+5.3%</w:t>
            </w:r>
          </w:p>
        </w:tc>
        <w:tc>
          <w:tcPr>
            <w:tcW w:w="727" w:type="dxa"/>
            <w:shd w:val="clear" w:color="auto" w:fill="595959" w:themeFill="text1" w:themeFillTint="A6"/>
            <w:vAlign w:val="center"/>
          </w:tcPr>
          <w:p w14:paraId="20DDE7A5" w14:textId="470F98E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+1.4%</w:t>
            </w:r>
          </w:p>
        </w:tc>
        <w:tc>
          <w:tcPr>
            <w:tcW w:w="864" w:type="dxa"/>
            <w:shd w:val="clear" w:color="auto" w:fill="595959" w:themeFill="text1" w:themeFillTint="A6"/>
            <w:vAlign w:val="center"/>
          </w:tcPr>
          <w:p w14:paraId="2B476E37" w14:textId="5765A9BE"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+0.0%</w:t>
            </w:r>
          </w:p>
        </w:tc>
        <w:tc>
          <w:tcPr>
            <w:tcW w:w="720" w:type="dxa"/>
            <w:shd w:val="clear" w:color="auto" w:fill="595959" w:themeFill="text1" w:themeFillTint="A6"/>
            <w:vAlign w:val="center"/>
          </w:tcPr>
          <w:p w14:paraId="14A51BC3" w14:textId="5287D7F6"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Pr>
                <w:rFonts w:ascii="Arial" w:eastAsia="Times New Roman" w:hAnsi="Arial" w:cs="Arial"/>
                <w:color w:val="FFFFFF" w:themeColor="background1"/>
                <w:sz w:val="16"/>
                <w:szCs w:val="16"/>
              </w:rPr>
              <w:t>$</w:t>
            </w:r>
            <w:r w:rsidR="00C75366">
              <w:rPr>
                <w:rFonts w:ascii="Arial" w:eastAsia="Times New Roman" w:hAnsi="Arial" w:cs="Arial"/>
                <w:color w:val="FFFFFF" w:themeColor="background1"/>
                <w:sz w:val="16"/>
                <w:szCs w:val="16"/>
              </w:rPr>
              <w:t>752</w:t>
            </w:r>
            <w:r w:rsidR="007148BD" w:rsidRPr="007148BD">
              <w:rPr>
                <w:rFonts w:ascii="Arial" w:eastAsia="Times New Roman" w:hAnsi="Arial" w:cs="Arial"/>
                <w:color w:val="FFFFFF" w:themeColor="background1"/>
                <w:sz w:val="16"/>
                <w:szCs w:val="16"/>
              </w:rPr>
              <w:t>M</w:t>
            </w:r>
          </w:p>
        </w:tc>
        <w:tc>
          <w:tcPr>
            <w:tcW w:w="864" w:type="dxa"/>
            <w:shd w:val="clear" w:color="auto" w:fill="595959" w:themeFill="text1" w:themeFillTint="A6"/>
            <w:vAlign w:val="center"/>
          </w:tcPr>
          <w:p w14:paraId="1D26BEFD" w14:textId="48C793B5"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w:t>
            </w:r>
            <w:r w:rsidR="00C75366">
              <w:rPr>
                <w:rFonts w:ascii="Arial" w:hAnsi="Arial" w:cs="Arial"/>
                <w:color w:val="FFFFFF" w:themeColor="background1"/>
                <w:sz w:val="16"/>
                <w:szCs w:val="16"/>
              </w:rPr>
              <w:t>12.7</w:t>
            </w:r>
            <w:r w:rsidR="007148BD" w:rsidRPr="007148BD">
              <w:rPr>
                <w:rFonts w:ascii="Arial" w:hAnsi="Arial" w:cs="Arial"/>
                <w:color w:val="FFFFFF" w:themeColor="background1"/>
                <w:sz w:val="16"/>
                <w:szCs w:val="16"/>
              </w:rPr>
              <w:t>%</w:t>
            </w:r>
          </w:p>
        </w:tc>
        <w:tc>
          <w:tcPr>
            <w:tcW w:w="893" w:type="dxa"/>
            <w:shd w:val="clear" w:color="auto" w:fill="595959" w:themeFill="text1" w:themeFillTint="A6"/>
            <w:vAlign w:val="center"/>
          </w:tcPr>
          <w:p w14:paraId="7279BDC2" w14:textId="506331B2" w:rsidR="007148BD" w:rsidRPr="007148BD" w:rsidRDefault="00C75366"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+5.2</w:t>
            </w:r>
            <w:r w:rsidR="007148BD" w:rsidRPr="007148BD">
              <w:rPr>
                <w:rFonts w:ascii="Arial" w:hAnsi="Arial" w:cs="Arial"/>
                <w:color w:val="FFFFFF" w:themeColor="background1"/>
                <w:sz w:val="16"/>
                <w:szCs w:val="16"/>
              </w:rPr>
              <w:t>%</w:t>
            </w:r>
          </w:p>
        </w:tc>
      </w:tr>
      <w:tr w:rsidR="007148BD" w:rsidRPr="00FA2F0F" w14:paraId="3EA70345" w14:textId="77777777" w:rsidTr="001E070B">
        <w:trPr>
          <w:trHeight w:val="216"/>
        </w:trPr>
        <w:tc>
          <w:tcPr>
            <w:cnfStyle w:val="001000000000" w:firstRow="0" w:lastRow="0" w:firstColumn="1" w:lastColumn="0" w:oddVBand="0" w:evenVBand="0" w:oddHBand="0" w:evenHBand="0" w:firstRowFirstColumn="0" w:firstRowLastColumn="0" w:lastRowFirstColumn="0" w:lastRowLastColumn="0"/>
            <w:tcW w:w="1156" w:type="dxa"/>
            <w:gridSpan w:val="2"/>
            <w:vAlign w:val="center"/>
          </w:tcPr>
          <w:p w14:paraId="7BA48644" w14:textId="77777777" w:rsidR="007148BD" w:rsidRPr="007148BD" w:rsidRDefault="007148BD" w:rsidP="00992897">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Shellfish</w:t>
            </w:r>
          </w:p>
        </w:tc>
        <w:tc>
          <w:tcPr>
            <w:tcW w:w="725" w:type="dxa"/>
            <w:vAlign w:val="center"/>
          </w:tcPr>
          <w:p w14:paraId="71BFCBA5"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+42%</w:t>
            </w:r>
          </w:p>
        </w:tc>
        <w:tc>
          <w:tcPr>
            <w:tcW w:w="645" w:type="dxa"/>
            <w:vAlign w:val="center"/>
          </w:tcPr>
          <w:p w14:paraId="65F47D56"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w:t>
            </w:r>
          </w:p>
        </w:tc>
        <w:tc>
          <w:tcPr>
            <w:tcW w:w="645" w:type="dxa"/>
            <w:vAlign w:val="center"/>
          </w:tcPr>
          <w:p w14:paraId="6F794AF1"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-5%</w:t>
            </w:r>
          </w:p>
        </w:tc>
        <w:tc>
          <w:tcPr>
            <w:tcW w:w="645" w:type="dxa"/>
            <w:vAlign w:val="center"/>
          </w:tcPr>
          <w:p w14:paraId="1B3D05AD"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-6%</w:t>
            </w:r>
          </w:p>
        </w:tc>
        <w:tc>
          <w:tcPr>
            <w:tcW w:w="652" w:type="dxa"/>
            <w:vAlign w:val="center"/>
          </w:tcPr>
          <w:p w14:paraId="0F0F76B9" w14:textId="39873284"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-3%</w:t>
            </w:r>
          </w:p>
        </w:tc>
        <w:tc>
          <w:tcPr>
            <w:tcW w:w="720" w:type="dxa"/>
            <w:vAlign w:val="center"/>
          </w:tcPr>
          <w:p w14:paraId="57131A4F" w14:textId="45D3B74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+0%</w:t>
            </w:r>
          </w:p>
        </w:tc>
        <w:tc>
          <w:tcPr>
            <w:tcW w:w="864" w:type="dxa"/>
            <w:vAlign w:val="center"/>
          </w:tcPr>
          <w:p w14:paraId="6AE2D8D1" w14:textId="7DB6562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+0.4%</w:t>
            </w:r>
          </w:p>
        </w:tc>
        <w:tc>
          <w:tcPr>
            <w:tcW w:w="772" w:type="dxa"/>
            <w:vAlign w:val="center"/>
          </w:tcPr>
          <w:p w14:paraId="1BA4CB08" w14:textId="02D8B9E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+5.3%</w:t>
            </w:r>
          </w:p>
        </w:tc>
        <w:tc>
          <w:tcPr>
            <w:tcW w:w="727" w:type="dxa"/>
            <w:vAlign w:val="center"/>
          </w:tcPr>
          <w:p w14:paraId="01440B90" w14:textId="42D83BAF"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+0.2%</w:t>
            </w:r>
          </w:p>
        </w:tc>
        <w:tc>
          <w:tcPr>
            <w:tcW w:w="864" w:type="dxa"/>
            <w:vAlign w:val="center"/>
          </w:tcPr>
          <w:p w14:paraId="5BADACEB" w14:textId="11AA8623"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-1.5%</w:t>
            </w:r>
          </w:p>
        </w:tc>
        <w:tc>
          <w:tcPr>
            <w:tcW w:w="720" w:type="dxa"/>
            <w:vAlign w:val="center"/>
          </w:tcPr>
          <w:p w14:paraId="1C0DA430" w14:textId="367A2B8B"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C75366">
              <w:rPr>
                <w:rFonts w:ascii="Arial" w:eastAsia="Times New Roman" w:hAnsi="Arial" w:cs="Arial"/>
                <w:color w:val="000000" w:themeColor="text1"/>
                <w:sz w:val="16"/>
                <w:szCs w:val="16"/>
              </w:rPr>
              <w:t>418</w:t>
            </w:r>
            <w:r w:rsidR="007148BD" w:rsidRPr="007148BD">
              <w:rPr>
                <w:rFonts w:ascii="Arial" w:eastAsia="Times New Roman" w:hAnsi="Arial" w:cs="Arial"/>
                <w:color w:val="000000" w:themeColor="text1"/>
                <w:sz w:val="16"/>
                <w:szCs w:val="16"/>
              </w:rPr>
              <w:t>M</w:t>
            </w:r>
          </w:p>
        </w:tc>
        <w:tc>
          <w:tcPr>
            <w:tcW w:w="864" w:type="dxa"/>
            <w:vAlign w:val="center"/>
          </w:tcPr>
          <w:p w14:paraId="52607458" w14:textId="79E8126C"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C75366">
              <w:rPr>
                <w:rFonts w:ascii="Arial" w:hAnsi="Arial" w:cs="Arial"/>
                <w:color w:val="000000" w:themeColor="text1"/>
                <w:sz w:val="16"/>
                <w:szCs w:val="16"/>
              </w:rPr>
              <w:t>10.4</w:t>
            </w:r>
            <w:r w:rsidR="007148BD" w:rsidRPr="007148BD">
              <w:rPr>
                <w:rFonts w:ascii="Arial" w:hAnsi="Arial" w:cs="Arial"/>
                <w:color w:val="000000" w:themeColor="text1"/>
                <w:sz w:val="16"/>
                <w:szCs w:val="16"/>
              </w:rPr>
              <w:t>%</w:t>
            </w:r>
          </w:p>
        </w:tc>
        <w:tc>
          <w:tcPr>
            <w:tcW w:w="893" w:type="dxa"/>
            <w:vAlign w:val="center"/>
          </w:tcPr>
          <w:p w14:paraId="595C2291" w14:textId="47688027"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C75366">
              <w:rPr>
                <w:rFonts w:ascii="Arial" w:hAnsi="Arial" w:cs="Arial"/>
                <w:color w:val="000000" w:themeColor="text1"/>
                <w:sz w:val="16"/>
                <w:szCs w:val="16"/>
              </w:rPr>
              <w:t>5.2</w:t>
            </w:r>
            <w:r w:rsidR="007148BD" w:rsidRPr="007148BD">
              <w:rPr>
                <w:rFonts w:ascii="Arial" w:hAnsi="Arial" w:cs="Arial"/>
                <w:color w:val="000000" w:themeColor="text1"/>
                <w:sz w:val="16"/>
                <w:szCs w:val="16"/>
              </w:rPr>
              <w:t>%</w:t>
            </w:r>
          </w:p>
        </w:tc>
      </w:tr>
      <w:tr w:rsidR="007148BD" w:rsidRPr="00FA2F0F" w14:paraId="5735DC78" w14:textId="77777777" w:rsidTr="001E07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8354BCE" w14:textId="77777777" w:rsidR="007148BD" w:rsidRPr="007148BD" w:rsidRDefault="007148BD" w:rsidP="00992897">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Finfish</w:t>
            </w:r>
          </w:p>
        </w:tc>
        <w:tc>
          <w:tcPr>
            <w:tcW w:w="725" w:type="dxa"/>
            <w:shd w:val="clear" w:color="auto" w:fill="D9D9D9" w:themeFill="background1" w:themeFillShade="D9"/>
            <w:vAlign w:val="center"/>
          </w:tcPr>
          <w:p w14:paraId="1FA9DA3B"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+32%</w:t>
            </w:r>
          </w:p>
        </w:tc>
        <w:tc>
          <w:tcPr>
            <w:tcW w:w="645" w:type="dxa"/>
            <w:shd w:val="clear" w:color="auto" w:fill="D9D9D9" w:themeFill="background1" w:themeFillShade="D9"/>
            <w:vAlign w:val="center"/>
          </w:tcPr>
          <w:p w14:paraId="5225CC58"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w:t>
            </w:r>
          </w:p>
        </w:tc>
        <w:tc>
          <w:tcPr>
            <w:tcW w:w="645" w:type="dxa"/>
            <w:shd w:val="clear" w:color="auto" w:fill="D9D9D9" w:themeFill="background1" w:themeFillShade="D9"/>
            <w:vAlign w:val="center"/>
          </w:tcPr>
          <w:p w14:paraId="0F1D2DAE"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+7%</w:t>
            </w:r>
          </w:p>
        </w:tc>
        <w:tc>
          <w:tcPr>
            <w:tcW w:w="645" w:type="dxa"/>
            <w:shd w:val="clear" w:color="auto" w:fill="D9D9D9" w:themeFill="background1" w:themeFillShade="D9"/>
            <w:vAlign w:val="center"/>
          </w:tcPr>
          <w:p w14:paraId="6D6E1A4A"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-2%</w:t>
            </w:r>
          </w:p>
        </w:tc>
        <w:tc>
          <w:tcPr>
            <w:tcW w:w="652" w:type="dxa"/>
            <w:shd w:val="clear" w:color="auto" w:fill="D9D9D9" w:themeFill="background1" w:themeFillShade="D9"/>
            <w:vAlign w:val="center"/>
          </w:tcPr>
          <w:p w14:paraId="33F37DEC" w14:textId="17077BE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-1%</w:t>
            </w:r>
          </w:p>
        </w:tc>
        <w:tc>
          <w:tcPr>
            <w:tcW w:w="720" w:type="dxa"/>
            <w:shd w:val="clear" w:color="auto" w:fill="D9D9D9" w:themeFill="background1" w:themeFillShade="D9"/>
            <w:vAlign w:val="center"/>
          </w:tcPr>
          <w:p w14:paraId="7FBAA824" w14:textId="76DF002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+3%</w:t>
            </w:r>
          </w:p>
        </w:tc>
        <w:tc>
          <w:tcPr>
            <w:tcW w:w="864" w:type="dxa"/>
            <w:shd w:val="clear" w:color="auto" w:fill="D9D9D9" w:themeFill="background1" w:themeFillShade="D9"/>
            <w:vAlign w:val="center"/>
          </w:tcPr>
          <w:p w14:paraId="134C3E9A" w14:textId="12E53F50"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-1.1%</w:t>
            </w:r>
          </w:p>
        </w:tc>
        <w:tc>
          <w:tcPr>
            <w:tcW w:w="772" w:type="dxa"/>
            <w:shd w:val="clear" w:color="auto" w:fill="D9D9D9" w:themeFill="background1" w:themeFillShade="D9"/>
            <w:vAlign w:val="center"/>
          </w:tcPr>
          <w:p w14:paraId="6F0A5A28" w14:textId="18872611"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+5.6%</w:t>
            </w:r>
          </w:p>
        </w:tc>
        <w:tc>
          <w:tcPr>
            <w:tcW w:w="727" w:type="dxa"/>
            <w:shd w:val="clear" w:color="auto" w:fill="D9D9D9" w:themeFill="background1" w:themeFillShade="D9"/>
            <w:vAlign w:val="center"/>
          </w:tcPr>
          <w:p w14:paraId="7DC878A3" w14:textId="54739AA1"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+3.3%</w:t>
            </w:r>
          </w:p>
        </w:tc>
        <w:tc>
          <w:tcPr>
            <w:tcW w:w="864" w:type="dxa"/>
            <w:shd w:val="clear" w:color="auto" w:fill="D9D9D9" w:themeFill="background1" w:themeFillShade="D9"/>
            <w:vAlign w:val="center"/>
          </w:tcPr>
          <w:p w14:paraId="26EA50F6" w14:textId="64E0423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+3.6%</w:t>
            </w:r>
          </w:p>
        </w:tc>
        <w:tc>
          <w:tcPr>
            <w:tcW w:w="720" w:type="dxa"/>
            <w:shd w:val="clear" w:color="auto" w:fill="D9D9D9" w:themeFill="background1" w:themeFillShade="D9"/>
            <w:vAlign w:val="center"/>
          </w:tcPr>
          <w:p w14:paraId="7B31A3EB" w14:textId="1687396A"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C75366">
              <w:rPr>
                <w:rFonts w:ascii="Arial" w:eastAsia="Times New Roman" w:hAnsi="Arial" w:cs="Arial"/>
                <w:color w:val="000000" w:themeColor="text1"/>
                <w:sz w:val="16"/>
                <w:szCs w:val="16"/>
              </w:rPr>
              <w:t>314</w:t>
            </w:r>
            <w:r w:rsidR="007148BD" w:rsidRPr="007148BD">
              <w:rPr>
                <w:rFonts w:ascii="Arial" w:eastAsia="Times New Roman" w:hAnsi="Arial" w:cs="Arial"/>
                <w:color w:val="000000" w:themeColor="text1"/>
                <w:sz w:val="16"/>
                <w:szCs w:val="16"/>
              </w:rPr>
              <w:t>M</w:t>
            </w:r>
          </w:p>
        </w:tc>
        <w:tc>
          <w:tcPr>
            <w:tcW w:w="864" w:type="dxa"/>
            <w:shd w:val="clear" w:color="auto" w:fill="D9D9D9" w:themeFill="background1" w:themeFillShade="D9"/>
            <w:vAlign w:val="center"/>
          </w:tcPr>
          <w:p w14:paraId="3A6A6416" w14:textId="30873F7A"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C75366">
              <w:rPr>
                <w:rFonts w:ascii="Arial" w:hAnsi="Arial" w:cs="Arial"/>
                <w:color w:val="000000" w:themeColor="text1"/>
                <w:sz w:val="16"/>
                <w:szCs w:val="16"/>
              </w:rPr>
              <w:t>17.3</w:t>
            </w:r>
            <w:r w:rsidR="007148BD" w:rsidRPr="007148BD">
              <w:rPr>
                <w:rFonts w:ascii="Arial" w:hAnsi="Arial" w:cs="Arial"/>
                <w:color w:val="000000" w:themeColor="text1"/>
                <w:sz w:val="16"/>
                <w:szCs w:val="16"/>
              </w:rPr>
              <w:t>%</w:t>
            </w:r>
          </w:p>
        </w:tc>
        <w:tc>
          <w:tcPr>
            <w:tcW w:w="893" w:type="dxa"/>
            <w:shd w:val="clear" w:color="auto" w:fill="D9D9D9" w:themeFill="background1" w:themeFillShade="D9"/>
            <w:vAlign w:val="center"/>
          </w:tcPr>
          <w:p w14:paraId="1E8E6142" w14:textId="02D73435"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8A3FB7">
              <w:rPr>
                <w:rFonts w:ascii="Arial" w:hAnsi="Arial" w:cs="Arial"/>
                <w:color w:val="000000" w:themeColor="text1"/>
                <w:sz w:val="16"/>
                <w:szCs w:val="16"/>
              </w:rPr>
              <w:t>17.9</w:t>
            </w:r>
            <w:r w:rsidR="007148BD" w:rsidRPr="007148BD">
              <w:rPr>
                <w:rFonts w:ascii="Arial" w:hAnsi="Arial" w:cs="Arial"/>
                <w:color w:val="000000" w:themeColor="text1"/>
                <w:sz w:val="16"/>
                <w:szCs w:val="16"/>
              </w:rPr>
              <w:t>%</w:t>
            </w:r>
          </w:p>
        </w:tc>
      </w:tr>
      <w:tr w:rsidR="007148BD" w:rsidRPr="00FA2F0F" w14:paraId="0F5C9896" w14:textId="77777777" w:rsidTr="007148BD">
        <w:trPr>
          <w:trHeight w:val="19"/>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4C64C88" w14:textId="77777777" w:rsidR="007148BD" w:rsidRPr="007148BD" w:rsidRDefault="007148BD" w:rsidP="00992897">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Seafood alternatives</w:t>
            </w:r>
          </w:p>
        </w:tc>
        <w:tc>
          <w:tcPr>
            <w:tcW w:w="725" w:type="dxa"/>
            <w:shd w:val="clear" w:color="auto" w:fill="D9D9D9" w:themeFill="background1" w:themeFillShade="D9"/>
            <w:vAlign w:val="center"/>
          </w:tcPr>
          <w:p w14:paraId="6672C75C"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+22%</w:t>
            </w:r>
          </w:p>
        </w:tc>
        <w:tc>
          <w:tcPr>
            <w:tcW w:w="645" w:type="dxa"/>
            <w:shd w:val="clear" w:color="auto" w:fill="D9D9D9" w:themeFill="background1" w:themeFillShade="D9"/>
            <w:vAlign w:val="center"/>
          </w:tcPr>
          <w:p w14:paraId="5C56F8F9"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+19%</w:t>
            </w:r>
          </w:p>
        </w:tc>
        <w:tc>
          <w:tcPr>
            <w:tcW w:w="645" w:type="dxa"/>
            <w:shd w:val="clear" w:color="auto" w:fill="D9D9D9" w:themeFill="background1" w:themeFillShade="D9"/>
            <w:vAlign w:val="center"/>
          </w:tcPr>
          <w:p w14:paraId="0F9A5F85"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+16%</w:t>
            </w:r>
          </w:p>
        </w:tc>
        <w:tc>
          <w:tcPr>
            <w:tcW w:w="645" w:type="dxa"/>
            <w:shd w:val="clear" w:color="auto" w:fill="D9D9D9" w:themeFill="background1" w:themeFillShade="D9"/>
            <w:vAlign w:val="center"/>
          </w:tcPr>
          <w:p w14:paraId="304F3CD8"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-15%</w:t>
            </w:r>
          </w:p>
        </w:tc>
        <w:tc>
          <w:tcPr>
            <w:tcW w:w="652" w:type="dxa"/>
            <w:shd w:val="clear" w:color="auto" w:fill="D9D9D9" w:themeFill="background1" w:themeFillShade="D9"/>
            <w:vAlign w:val="center"/>
          </w:tcPr>
          <w:p w14:paraId="6ADE07E7" w14:textId="06C9BF9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-5%</w:t>
            </w:r>
          </w:p>
        </w:tc>
        <w:tc>
          <w:tcPr>
            <w:tcW w:w="720" w:type="dxa"/>
            <w:shd w:val="clear" w:color="auto" w:fill="D9D9D9" w:themeFill="background1" w:themeFillShade="D9"/>
            <w:vAlign w:val="center"/>
          </w:tcPr>
          <w:p w14:paraId="19D9063C" w14:textId="1DA8944B"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-7%</w:t>
            </w:r>
          </w:p>
        </w:tc>
        <w:tc>
          <w:tcPr>
            <w:tcW w:w="864" w:type="dxa"/>
            <w:shd w:val="clear" w:color="auto" w:fill="D9D9D9" w:themeFill="background1" w:themeFillShade="D9"/>
            <w:vAlign w:val="center"/>
          </w:tcPr>
          <w:p w14:paraId="3F52D29E" w14:textId="36D1633E"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-2.0%</w:t>
            </w:r>
          </w:p>
        </w:tc>
        <w:tc>
          <w:tcPr>
            <w:tcW w:w="772" w:type="dxa"/>
            <w:shd w:val="clear" w:color="auto" w:fill="D9D9D9" w:themeFill="background1" w:themeFillShade="D9"/>
            <w:vAlign w:val="center"/>
          </w:tcPr>
          <w:p w14:paraId="6766D1AF" w14:textId="5F4190CE"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-10.6%</w:t>
            </w:r>
          </w:p>
        </w:tc>
        <w:tc>
          <w:tcPr>
            <w:tcW w:w="727" w:type="dxa"/>
            <w:shd w:val="clear" w:color="auto" w:fill="D9D9D9" w:themeFill="background1" w:themeFillShade="D9"/>
            <w:vAlign w:val="center"/>
          </w:tcPr>
          <w:p w14:paraId="63B6A2FD" w14:textId="16A42963"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-2.7%</w:t>
            </w:r>
          </w:p>
        </w:tc>
        <w:tc>
          <w:tcPr>
            <w:tcW w:w="864" w:type="dxa"/>
            <w:shd w:val="clear" w:color="auto" w:fill="D9D9D9" w:themeFill="background1" w:themeFillShade="D9"/>
            <w:vAlign w:val="center"/>
          </w:tcPr>
          <w:p w14:paraId="160128D4" w14:textId="6F198A9A"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-12.6%</w:t>
            </w:r>
          </w:p>
        </w:tc>
        <w:tc>
          <w:tcPr>
            <w:tcW w:w="720" w:type="dxa"/>
            <w:shd w:val="clear" w:color="auto" w:fill="D9D9D9" w:themeFill="background1" w:themeFillShade="D9"/>
            <w:vAlign w:val="center"/>
          </w:tcPr>
          <w:p w14:paraId="6E87220E" w14:textId="2F8DC260"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C75366">
              <w:rPr>
                <w:rFonts w:ascii="Arial" w:eastAsia="Times New Roman" w:hAnsi="Arial" w:cs="Arial"/>
                <w:color w:val="000000" w:themeColor="text1"/>
                <w:sz w:val="16"/>
                <w:szCs w:val="16"/>
              </w:rPr>
              <w:t>626</w:t>
            </w:r>
            <w:r w:rsidR="007148BD" w:rsidRPr="007148BD">
              <w:rPr>
                <w:rFonts w:ascii="Arial" w:eastAsia="Times New Roman" w:hAnsi="Arial" w:cs="Arial"/>
                <w:color w:val="000000" w:themeColor="text1"/>
                <w:sz w:val="16"/>
                <w:szCs w:val="16"/>
              </w:rPr>
              <w:t>K</w:t>
            </w:r>
          </w:p>
        </w:tc>
        <w:tc>
          <w:tcPr>
            <w:tcW w:w="864" w:type="dxa"/>
            <w:shd w:val="clear" w:color="auto" w:fill="D9D9D9" w:themeFill="background1" w:themeFillShade="D9"/>
            <w:vAlign w:val="center"/>
          </w:tcPr>
          <w:p w14:paraId="51325A1D" w14:textId="326A044E"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C75366">
              <w:rPr>
                <w:rFonts w:ascii="Arial" w:hAnsi="Arial" w:cs="Arial"/>
                <w:color w:val="000000" w:themeColor="text1"/>
                <w:sz w:val="16"/>
                <w:szCs w:val="16"/>
              </w:rPr>
              <w:t>11.5</w:t>
            </w:r>
            <w:r w:rsidR="007148BD" w:rsidRPr="007148BD">
              <w:rPr>
                <w:rFonts w:ascii="Arial" w:hAnsi="Arial" w:cs="Arial"/>
                <w:color w:val="000000" w:themeColor="text1"/>
                <w:sz w:val="16"/>
                <w:szCs w:val="16"/>
              </w:rPr>
              <w:t>%</w:t>
            </w:r>
          </w:p>
        </w:tc>
        <w:tc>
          <w:tcPr>
            <w:tcW w:w="893" w:type="dxa"/>
            <w:shd w:val="clear" w:color="auto" w:fill="D9D9D9" w:themeFill="background1" w:themeFillShade="D9"/>
            <w:vAlign w:val="center"/>
          </w:tcPr>
          <w:p w14:paraId="13B7DB16" w14:textId="6251F7F8"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0319F3">
              <w:rPr>
                <w:rFonts w:ascii="Arial" w:hAnsi="Arial" w:cs="Arial"/>
                <w:color w:val="000000" w:themeColor="text1"/>
                <w:sz w:val="16"/>
                <w:szCs w:val="16"/>
              </w:rPr>
              <w:t>1</w:t>
            </w:r>
            <w:r w:rsidR="008A3FB7">
              <w:rPr>
                <w:rFonts w:ascii="Arial" w:hAnsi="Arial" w:cs="Arial"/>
                <w:color w:val="000000" w:themeColor="text1"/>
                <w:sz w:val="16"/>
                <w:szCs w:val="16"/>
              </w:rPr>
              <w:t>1.3</w:t>
            </w:r>
            <w:r w:rsidR="007148BD" w:rsidRPr="007148BD">
              <w:rPr>
                <w:rFonts w:ascii="Arial" w:hAnsi="Arial" w:cs="Arial"/>
                <w:color w:val="000000" w:themeColor="text1"/>
                <w:sz w:val="16"/>
                <w:szCs w:val="16"/>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Source: Circana, Integrated Fresh, Total US, MULO+</w:t>
      </w:r>
    </w:p>
    <w:p w14:paraId="23701A0D" w14:textId="77777777" w:rsidR="00637392" w:rsidRDefault="00637392" w:rsidP="004970F6">
      <w:pPr>
        <w:pStyle w:val="NoSpacing"/>
        <w:rPr>
          <w:rFonts w:ascii="Arial" w:hAnsi="Arial" w:cs="Arial"/>
          <w:b/>
          <w:bCs/>
          <w:color w:val="00857C"/>
        </w:rPr>
      </w:pPr>
    </w:p>
    <w:p w14:paraId="7A8EA595" w14:textId="2E4B8D15"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30A38C6D" w14:textId="77777777" w:rsidR="00C217FB" w:rsidRDefault="008A3FB7" w:rsidP="00CB097D">
      <w:pPr>
        <w:pStyle w:val="NoSpacing"/>
        <w:rPr>
          <w:rFonts w:ascii="Arial" w:hAnsi="Arial" w:cs="Arial"/>
          <w:color w:val="000000" w:themeColor="text1"/>
          <w:sz w:val="20"/>
          <w:szCs w:val="20"/>
        </w:rPr>
      </w:pPr>
      <w:r>
        <w:rPr>
          <w:rFonts w:ascii="Arial" w:hAnsi="Arial" w:cs="Arial"/>
          <w:color w:val="000000" w:themeColor="text1"/>
          <w:sz w:val="20"/>
          <w:szCs w:val="20"/>
        </w:rPr>
        <w:t>S</w:t>
      </w:r>
      <w:r w:rsidR="000319F3">
        <w:rPr>
          <w:rFonts w:ascii="Arial" w:hAnsi="Arial" w:cs="Arial"/>
          <w:color w:val="000000" w:themeColor="text1"/>
          <w:sz w:val="20"/>
          <w:szCs w:val="20"/>
        </w:rPr>
        <w:t xml:space="preserve">hrimp </w:t>
      </w:r>
      <w:r>
        <w:rPr>
          <w:rFonts w:ascii="Arial" w:hAnsi="Arial" w:cs="Arial"/>
          <w:color w:val="000000" w:themeColor="text1"/>
          <w:sz w:val="20"/>
          <w:szCs w:val="20"/>
        </w:rPr>
        <w:t xml:space="preserve">continued to </w:t>
      </w:r>
      <w:r w:rsidR="000319F3">
        <w:rPr>
          <w:rFonts w:ascii="Arial" w:hAnsi="Arial" w:cs="Arial"/>
          <w:color w:val="000000" w:themeColor="text1"/>
          <w:sz w:val="20"/>
          <w:szCs w:val="20"/>
        </w:rPr>
        <w:t>dominat</w:t>
      </w:r>
      <w:r>
        <w:rPr>
          <w:rFonts w:ascii="Arial" w:hAnsi="Arial" w:cs="Arial"/>
          <w:color w:val="000000" w:themeColor="text1"/>
          <w:sz w:val="20"/>
          <w:szCs w:val="20"/>
        </w:rPr>
        <w:t>e</w:t>
      </w:r>
      <w:r w:rsidR="000319F3">
        <w:rPr>
          <w:rFonts w:ascii="Arial" w:hAnsi="Arial" w:cs="Arial"/>
          <w:color w:val="000000" w:themeColor="text1"/>
          <w:sz w:val="20"/>
          <w:szCs w:val="20"/>
        </w:rPr>
        <w:t xml:space="preserve"> frozen seafood sales</w:t>
      </w:r>
      <w:r>
        <w:rPr>
          <w:rFonts w:ascii="Arial" w:hAnsi="Arial" w:cs="Arial"/>
          <w:color w:val="000000" w:themeColor="text1"/>
          <w:sz w:val="20"/>
          <w:szCs w:val="20"/>
        </w:rPr>
        <w:t>. However, the substantial price increases of the latter half of 2025 and start of 2026 affected demand with pounds down in the shorter- and longer-term periods.</w:t>
      </w:r>
      <w:r w:rsidR="000319F3">
        <w:rPr>
          <w:rFonts w:ascii="Arial" w:hAnsi="Arial" w:cs="Arial"/>
          <w:color w:val="000000" w:themeColor="text1"/>
          <w:sz w:val="20"/>
          <w:szCs w:val="20"/>
        </w:rPr>
        <w:t xml:space="preserve"> Pounds were down </w:t>
      </w:r>
      <w:r>
        <w:rPr>
          <w:rFonts w:ascii="Arial" w:hAnsi="Arial" w:cs="Arial"/>
          <w:color w:val="000000" w:themeColor="text1"/>
          <w:sz w:val="20"/>
          <w:szCs w:val="20"/>
        </w:rPr>
        <w:t>6.0</w:t>
      </w:r>
      <w:r w:rsidR="000319F3">
        <w:rPr>
          <w:rFonts w:ascii="Arial" w:hAnsi="Arial" w:cs="Arial"/>
          <w:color w:val="000000" w:themeColor="text1"/>
          <w:sz w:val="20"/>
          <w:szCs w:val="20"/>
        </w:rPr>
        <w:t>% year-over-year in</w:t>
      </w:r>
      <w:r>
        <w:rPr>
          <w:rFonts w:ascii="Arial" w:hAnsi="Arial" w:cs="Arial"/>
          <w:color w:val="000000" w:themeColor="text1"/>
          <w:sz w:val="20"/>
          <w:szCs w:val="20"/>
        </w:rPr>
        <w:t xml:space="preserve"> February despite the favorite Lent comparison. </w:t>
      </w:r>
    </w:p>
    <w:p w14:paraId="2B57264B" w14:textId="77777777" w:rsidR="00C217FB" w:rsidRDefault="00C217FB" w:rsidP="00CB097D">
      <w:pPr>
        <w:pStyle w:val="NoSpacing"/>
        <w:rPr>
          <w:rFonts w:ascii="Arial" w:hAnsi="Arial" w:cs="Arial"/>
          <w:color w:val="000000" w:themeColor="text1"/>
          <w:sz w:val="20"/>
          <w:szCs w:val="20"/>
        </w:rPr>
      </w:pPr>
    </w:p>
    <w:p w14:paraId="235CE39F" w14:textId="4EEB16BD" w:rsidR="00637392" w:rsidRDefault="00C217FB" w:rsidP="00CB097D">
      <w:pPr>
        <w:pStyle w:val="NoSpacing"/>
        <w:rPr>
          <w:rFonts w:ascii="Arial" w:hAnsi="Arial" w:cs="Arial"/>
          <w:color w:val="000000" w:themeColor="text1"/>
          <w:sz w:val="20"/>
          <w:szCs w:val="20"/>
        </w:rPr>
      </w:pPr>
      <w:r>
        <w:rPr>
          <w:rFonts w:ascii="Arial" w:hAnsi="Arial" w:cs="Arial"/>
          <w:color w:val="000000" w:themeColor="text1"/>
          <w:sz w:val="20"/>
          <w:szCs w:val="20"/>
        </w:rPr>
        <w:t xml:space="preserve">Frozen salmon, pollock and tilapia were the big winners in February, with gains that far exceed their annual growth rates. </w:t>
      </w:r>
      <w:r w:rsidR="00103FB9">
        <w:rPr>
          <w:rFonts w:ascii="Arial" w:hAnsi="Arial" w:cs="Arial"/>
          <w:color w:val="000000" w:themeColor="text1"/>
          <w:sz w:val="20"/>
          <w:szCs w:val="20"/>
        </w:rPr>
        <w:t>Crab moved back into the top five frozen species with solid dollar gain</w:t>
      </w:r>
      <w:r w:rsidR="00600D3C">
        <w:rPr>
          <w:rFonts w:ascii="Arial" w:hAnsi="Arial" w:cs="Arial"/>
          <w:color w:val="000000" w:themeColor="text1"/>
          <w:sz w:val="20"/>
          <w:szCs w:val="20"/>
        </w:rPr>
        <w:t xml:space="preserve">s. </w:t>
      </w:r>
    </w:p>
    <w:p w14:paraId="040DB215" w14:textId="77777777" w:rsidR="00C217FB" w:rsidRDefault="00C217FB" w:rsidP="00CB097D">
      <w:pPr>
        <w:pStyle w:val="NoSpacing"/>
        <w:rPr>
          <w:rFonts w:ascii="Arial" w:hAnsi="Arial" w:cs="Arial"/>
          <w:color w:val="000000" w:themeColor="text1"/>
          <w:sz w:val="20"/>
          <w:szCs w:val="20"/>
        </w:rPr>
      </w:pPr>
    </w:p>
    <w:p w14:paraId="645B8728" w14:textId="77777777" w:rsidR="00C217FB" w:rsidRDefault="00C217FB" w:rsidP="00CB097D">
      <w:pPr>
        <w:pStyle w:val="NoSpacing"/>
        <w:rPr>
          <w:rFonts w:ascii="Arial" w:hAnsi="Arial" w:cs="Arial"/>
          <w:color w:val="000000" w:themeColor="text1"/>
          <w:sz w:val="20"/>
          <w:szCs w:val="20"/>
        </w:rPr>
      </w:pPr>
    </w:p>
    <w:p w14:paraId="59DB2803" w14:textId="77777777" w:rsidR="00C217FB" w:rsidRDefault="00C217FB" w:rsidP="00CB097D">
      <w:pPr>
        <w:pStyle w:val="NoSpacing"/>
        <w:rPr>
          <w:rFonts w:ascii="Arial" w:hAnsi="Arial" w:cs="Arial"/>
          <w:color w:val="000000" w:themeColor="text1"/>
          <w:sz w:val="20"/>
          <w:szCs w:val="20"/>
        </w:rPr>
      </w:pPr>
    </w:p>
    <w:p w14:paraId="3E72DEC9" w14:textId="77777777" w:rsidR="00600D3C" w:rsidRDefault="00600D3C" w:rsidP="00CB097D">
      <w:pPr>
        <w:pStyle w:val="NoSpacing"/>
        <w:rPr>
          <w:rFonts w:ascii="Arial" w:hAnsi="Arial" w:cs="Arial"/>
          <w:color w:val="000000" w:themeColor="text1"/>
          <w:sz w:val="20"/>
          <w:szCs w:val="20"/>
        </w:rPr>
      </w:pPr>
    </w:p>
    <w:tbl>
      <w:tblPr>
        <w:tblStyle w:val="ListTable2"/>
        <w:tblW w:w="10620" w:type="dxa"/>
        <w:tblLayout w:type="fixed"/>
        <w:tblLook w:val="04A0" w:firstRow="1" w:lastRow="0" w:firstColumn="1" w:lastColumn="0" w:noHBand="0" w:noVBand="1"/>
      </w:tblPr>
      <w:tblGrid>
        <w:gridCol w:w="2070"/>
        <w:gridCol w:w="1455"/>
        <w:gridCol w:w="1455"/>
        <w:gridCol w:w="1500"/>
        <w:gridCol w:w="1410"/>
        <w:gridCol w:w="1290"/>
        <w:gridCol w:w="1440"/>
      </w:tblGrid>
      <w:tr w:rsidR="00C75C35" w:rsidRPr="00A80540" w14:paraId="74E8430C" w14:textId="77777777" w:rsidTr="00C535D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7AB07534" w14:textId="59460436" w:rsidR="00C75C35" w:rsidRPr="00A80540" w:rsidRDefault="00C75C35" w:rsidP="00C75C35">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3"/>
            <w:shd w:val="clear" w:color="auto" w:fill="17365D" w:themeFill="text2" w:themeFillShade="BF"/>
          </w:tcPr>
          <w:p w14:paraId="5E8D3EC1" w14:textId="4670D9B8" w:rsidR="00C75C35" w:rsidRPr="00A80540" w:rsidRDefault="006A6067"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February 2026</w:t>
            </w:r>
          </w:p>
        </w:tc>
        <w:tc>
          <w:tcPr>
            <w:tcW w:w="4140" w:type="dxa"/>
            <w:gridSpan w:val="3"/>
            <w:shd w:val="clear" w:color="auto" w:fill="17365D" w:themeFill="text2" w:themeFillShade="BF"/>
          </w:tcPr>
          <w:p w14:paraId="6BAD5D7C" w14:textId="3C4CB95B"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5B221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500" w:type="dxa"/>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10" w:type="dxa"/>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103FB9" w:rsidRPr="00FA2F0F" w14:paraId="582E83F8" w14:textId="77777777" w:rsidTr="007F16B0">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103FB9" w:rsidRPr="00103FB9" w:rsidRDefault="00103FB9" w:rsidP="00103FB9">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shrimp</w:t>
            </w:r>
          </w:p>
        </w:tc>
        <w:tc>
          <w:tcPr>
            <w:tcW w:w="1455" w:type="dxa"/>
            <w:vAlign w:val="center"/>
          </w:tcPr>
          <w:p w14:paraId="34226FF4" w14:textId="091D89EC"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344.3</w:t>
            </w:r>
            <w:r w:rsidR="00103FB9">
              <w:rPr>
                <w:rFonts w:ascii="Arial" w:hAnsi="Arial" w:cs="Arial"/>
                <w:color w:val="000000"/>
                <w:sz w:val="18"/>
                <w:szCs w:val="18"/>
              </w:rPr>
              <w:t>M</w:t>
            </w:r>
          </w:p>
        </w:tc>
        <w:tc>
          <w:tcPr>
            <w:tcW w:w="1455" w:type="dxa"/>
            <w:vAlign w:val="center"/>
          </w:tcPr>
          <w:p w14:paraId="282DA3A2" w14:textId="641D8922" w:rsidR="00103FB9" w:rsidRPr="00103FB9" w:rsidRDefault="00600D3C"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9.6</w:t>
            </w:r>
            <w:r w:rsidR="00103FB9" w:rsidRPr="00103FB9">
              <w:rPr>
                <w:rFonts w:ascii="Arial" w:hAnsi="Arial" w:cs="Arial"/>
                <w:color w:val="000000"/>
                <w:sz w:val="18"/>
                <w:szCs w:val="18"/>
              </w:rPr>
              <w:t>%</w:t>
            </w:r>
          </w:p>
        </w:tc>
        <w:tc>
          <w:tcPr>
            <w:tcW w:w="1500" w:type="dxa"/>
            <w:vAlign w:val="center"/>
          </w:tcPr>
          <w:p w14:paraId="79EB35F8" w14:textId="4F290E7C" w:rsidR="00103FB9" w:rsidRPr="00103FB9" w:rsidRDefault="00F82D45"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6.0</w:t>
            </w:r>
            <w:r w:rsidR="00103FB9" w:rsidRPr="00103FB9">
              <w:rPr>
                <w:rFonts w:ascii="Arial" w:hAnsi="Arial" w:cs="Arial"/>
                <w:color w:val="000000"/>
                <w:sz w:val="18"/>
                <w:szCs w:val="18"/>
              </w:rPr>
              <w:t>%</w:t>
            </w:r>
          </w:p>
        </w:tc>
        <w:tc>
          <w:tcPr>
            <w:tcW w:w="1410" w:type="dxa"/>
            <w:vAlign w:val="center"/>
          </w:tcPr>
          <w:p w14:paraId="59A2F10C" w14:textId="39162D07"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4.06</w:t>
            </w:r>
            <w:r w:rsidR="00103FB9">
              <w:rPr>
                <w:rFonts w:ascii="Arial" w:hAnsi="Arial" w:cs="Arial"/>
                <w:color w:val="000000"/>
                <w:sz w:val="18"/>
                <w:szCs w:val="18"/>
              </w:rPr>
              <w:t>B</w:t>
            </w:r>
          </w:p>
        </w:tc>
        <w:tc>
          <w:tcPr>
            <w:tcW w:w="1290" w:type="dxa"/>
            <w:vAlign w:val="center"/>
          </w:tcPr>
          <w:p w14:paraId="5B063ED0" w14:textId="5A86E37C" w:rsidR="00103FB9" w:rsidRPr="00103FB9" w:rsidRDefault="000319F3"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1.6</w:t>
            </w:r>
            <w:r w:rsidR="00103FB9" w:rsidRPr="00103FB9">
              <w:rPr>
                <w:rFonts w:ascii="Arial" w:hAnsi="Arial" w:cs="Arial"/>
                <w:color w:val="000000"/>
                <w:sz w:val="18"/>
                <w:szCs w:val="18"/>
              </w:rPr>
              <w:t>%</w:t>
            </w:r>
          </w:p>
        </w:tc>
        <w:tc>
          <w:tcPr>
            <w:tcW w:w="1440" w:type="dxa"/>
            <w:vAlign w:val="center"/>
          </w:tcPr>
          <w:p w14:paraId="19A48928" w14:textId="2587117C"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0319F3">
              <w:rPr>
                <w:rFonts w:ascii="Arial" w:hAnsi="Arial" w:cs="Arial"/>
                <w:color w:val="000000"/>
                <w:sz w:val="18"/>
                <w:szCs w:val="18"/>
              </w:rPr>
              <w:t>5.</w:t>
            </w:r>
            <w:r w:rsidR="008A3FB7">
              <w:rPr>
                <w:rFonts w:ascii="Arial" w:hAnsi="Arial" w:cs="Arial"/>
                <w:color w:val="000000"/>
                <w:sz w:val="18"/>
                <w:szCs w:val="18"/>
              </w:rPr>
              <w:t>0</w:t>
            </w:r>
            <w:r w:rsidR="00103FB9" w:rsidRPr="00103FB9">
              <w:rPr>
                <w:rFonts w:ascii="Arial" w:hAnsi="Arial" w:cs="Arial"/>
                <w:color w:val="000000"/>
                <w:sz w:val="18"/>
                <w:szCs w:val="18"/>
              </w:rPr>
              <w:t>%</w:t>
            </w:r>
          </w:p>
        </w:tc>
      </w:tr>
      <w:tr w:rsidR="00F82D45" w:rsidRPr="00FA2F0F" w14:paraId="3C23A2D5" w14:textId="77777777" w:rsidTr="00F82D4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B89A307" w14:textId="74D3B502" w:rsidR="00F82D45" w:rsidRPr="00103FB9" w:rsidRDefault="00F82D45" w:rsidP="00F82D45">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salmon</w:t>
            </w:r>
          </w:p>
        </w:tc>
        <w:tc>
          <w:tcPr>
            <w:tcW w:w="1455" w:type="dxa"/>
            <w:vAlign w:val="center"/>
          </w:tcPr>
          <w:p w14:paraId="3A400688" w14:textId="349F6A9C"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8A3FB7">
              <w:rPr>
                <w:rFonts w:ascii="Arial" w:eastAsia="Times New Roman" w:hAnsi="Arial" w:cs="Arial"/>
                <w:color w:val="000000" w:themeColor="text1"/>
                <w:sz w:val="18"/>
                <w:szCs w:val="18"/>
              </w:rPr>
              <w:t>100.0</w:t>
            </w:r>
            <w:r w:rsidRPr="00F74141">
              <w:rPr>
                <w:rFonts w:ascii="Arial" w:eastAsia="Times New Roman" w:hAnsi="Arial" w:cs="Arial"/>
                <w:color w:val="000000" w:themeColor="text1"/>
                <w:sz w:val="18"/>
                <w:szCs w:val="18"/>
              </w:rPr>
              <w:t>M</w:t>
            </w:r>
          </w:p>
        </w:tc>
        <w:tc>
          <w:tcPr>
            <w:tcW w:w="1455" w:type="dxa"/>
          </w:tcPr>
          <w:p w14:paraId="454751B8" w14:textId="12D23AD2"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0319F3">
              <w:rPr>
                <w:rFonts w:ascii="Arial" w:hAnsi="Arial" w:cs="Arial"/>
                <w:color w:val="000000"/>
                <w:sz w:val="18"/>
                <w:szCs w:val="18"/>
              </w:rPr>
              <w:t>1</w:t>
            </w:r>
            <w:r w:rsidR="008A3FB7">
              <w:rPr>
                <w:rFonts w:ascii="Arial" w:hAnsi="Arial" w:cs="Arial"/>
                <w:color w:val="000000"/>
                <w:sz w:val="18"/>
                <w:szCs w:val="18"/>
              </w:rPr>
              <w:t>8.5</w:t>
            </w:r>
            <w:r w:rsidRPr="006229B6">
              <w:rPr>
                <w:rFonts w:ascii="Arial" w:hAnsi="Arial" w:cs="Arial"/>
                <w:color w:val="000000"/>
                <w:sz w:val="18"/>
                <w:szCs w:val="18"/>
              </w:rPr>
              <w:t>%</w:t>
            </w:r>
          </w:p>
        </w:tc>
        <w:tc>
          <w:tcPr>
            <w:tcW w:w="1500" w:type="dxa"/>
          </w:tcPr>
          <w:p w14:paraId="5C16D02A" w14:textId="3D1B004D"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8A3FB7">
              <w:rPr>
                <w:rFonts w:ascii="Arial" w:hAnsi="Arial" w:cs="Arial"/>
                <w:color w:val="000000"/>
                <w:sz w:val="18"/>
                <w:szCs w:val="18"/>
              </w:rPr>
              <w:t>12.7</w:t>
            </w:r>
            <w:r w:rsidRPr="006229B6">
              <w:rPr>
                <w:rFonts w:ascii="Arial" w:hAnsi="Arial" w:cs="Arial"/>
                <w:color w:val="000000"/>
                <w:sz w:val="18"/>
                <w:szCs w:val="18"/>
              </w:rPr>
              <w:t>%</w:t>
            </w:r>
          </w:p>
        </w:tc>
        <w:tc>
          <w:tcPr>
            <w:tcW w:w="1410" w:type="dxa"/>
            <w:vAlign w:val="center"/>
          </w:tcPr>
          <w:p w14:paraId="221E222A" w14:textId="35F97612"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1.1</w:t>
            </w:r>
            <w:r>
              <w:rPr>
                <w:rFonts w:ascii="Arial" w:hAnsi="Arial" w:cs="Arial"/>
                <w:color w:val="000000"/>
                <w:sz w:val="18"/>
                <w:szCs w:val="18"/>
              </w:rPr>
              <w:t>B</w:t>
            </w:r>
          </w:p>
        </w:tc>
        <w:tc>
          <w:tcPr>
            <w:tcW w:w="1290" w:type="dxa"/>
          </w:tcPr>
          <w:p w14:paraId="79116A6A" w14:textId="1522A7A4"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8A3FB7">
              <w:rPr>
                <w:rFonts w:ascii="Arial" w:hAnsi="Arial" w:cs="Arial"/>
                <w:color w:val="000000"/>
                <w:sz w:val="18"/>
                <w:szCs w:val="18"/>
              </w:rPr>
              <w:t>10.8</w:t>
            </w:r>
            <w:r w:rsidRPr="003E754F">
              <w:rPr>
                <w:rFonts w:ascii="Arial" w:hAnsi="Arial" w:cs="Arial"/>
                <w:color w:val="000000"/>
                <w:sz w:val="18"/>
                <w:szCs w:val="18"/>
              </w:rPr>
              <w:t>%</w:t>
            </w:r>
          </w:p>
        </w:tc>
        <w:tc>
          <w:tcPr>
            <w:tcW w:w="1440" w:type="dxa"/>
            <w:vAlign w:val="center"/>
          </w:tcPr>
          <w:p w14:paraId="2C2C5773" w14:textId="5B3077D0"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7.3</w:t>
            </w:r>
            <w:r w:rsidRPr="00103FB9">
              <w:rPr>
                <w:rFonts w:ascii="Arial" w:hAnsi="Arial" w:cs="Arial"/>
                <w:color w:val="000000"/>
                <w:sz w:val="18"/>
                <w:szCs w:val="18"/>
              </w:rPr>
              <w:t>%</w:t>
            </w:r>
          </w:p>
        </w:tc>
      </w:tr>
      <w:tr w:rsidR="00F82D45" w:rsidRPr="00FA2F0F" w14:paraId="7756AE9F" w14:textId="77777777" w:rsidTr="00F82D45">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47E33A40" w14:textId="77777777" w:rsidR="00F82D45" w:rsidRPr="00103FB9" w:rsidRDefault="00F82D45" w:rsidP="00F82D4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pollock</w:t>
            </w:r>
          </w:p>
        </w:tc>
        <w:tc>
          <w:tcPr>
            <w:tcW w:w="1455" w:type="dxa"/>
            <w:vAlign w:val="center"/>
          </w:tcPr>
          <w:p w14:paraId="733E8BB4" w14:textId="20A4B453"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8A3FB7">
              <w:rPr>
                <w:rFonts w:ascii="Arial" w:eastAsia="Times New Roman" w:hAnsi="Arial" w:cs="Arial"/>
                <w:color w:val="000000" w:themeColor="text1"/>
                <w:sz w:val="18"/>
                <w:szCs w:val="18"/>
              </w:rPr>
              <w:t>70.8</w:t>
            </w:r>
            <w:r w:rsidRPr="00F74141">
              <w:rPr>
                <w:rFonts w:ascii="Arial" w:eastAsia="Times New Roman" w:hAnsi="Arial" w:cs="Arial"/>
                <w:color w:val="000000" w:themeColor="text1"/>
                <w:sz w:val="18"/>
                <w:szCs w:val="18"/>
              </w:rPr>
              <w:t>M</w:t>
            </w:r>
          </w:p>
        </w:tc>
        <w:tc>
          <w:tcPr>
            <w:tcW w:w="1455" w:type="dxa"/>
          </w:tcPr>
          <w:p w14:paraId="41826C28" w14:textId="19B3DEF3"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8A3FB7">
              <w:rPr>
                <w:rFonts w:ascii="Arial" w:hAnsi="Arial" w:cs="Arial"/>
                <w:color w:val="000000"/>
                <w:sz w:val="18"/>
                <w:szCs w:val="18"/>
              </w:rPr>
              <w:t>29.6</w:t>
            </w:r>
            <w:r w:rsidRPr="006229B6">
              <w:rPr>
                <w:rFonts w:ascii="Arial" w:hAnsi="Arial" w:cs="Arial"/>
                <w:color w:val="000000"/>
                <w:sz w:val="18"/>
                <w:szCs w:val="18"/>
              </w:rPr>
              <w:t>%</w:t>
            </w:r>
          </w:p>
        </w:tc>
        <w:tc>
          <w:tcPr>
            <w:tcW w:w="1500" w:type="dxa"/>
          </w:tcPr>
          <w:p w14:paraId="437C066F" w14:textId="5A463416"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8A3FB7">
              <w:rPr>
                <w:rFonts w:ascii="Arial" w:hAnsi="Arial" w:cs="Arial"/>
                <w:color w:val="000000"/>
                <w:sz w:val="18"/>
                <w:szCs w:val="18"/>
              </w:rPr>
              <w:t>34.2</w:t>
            </w:r>
            <w:r w:rsidRPr="006229B6">
              <w:rPr>
                <w:rFonts w:ascii="Arial" w:hAnsi="Arial" w:cs="Arial"/>
                <w:color w:val="000000"/>
                <w:sz w:val="18"/>
                <w:szCs w:val="18"/>
              </w:rPr>
              <w:t>%</w:t>
            </w:r>
          </w:p>
        </w:tc>
        <w:tc>
          <w:tcPr>
            <w:tcW w:w="1410" w:type="dxa"/>
            <w:vAlign w:val="center"/>
          </w:tcPr>
          <w:p w14:paraId="080FAA3E" w14:textId="7BB278AE"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8A3FB7">
              <w:rPr>
                <w:rFonts w:ascii="Arial" w:eastAsia="Times New Roman" w:hAnsi="Arial" w:cs="Arial"/>
                <w:color w:val="000000" w:themeColor="text1"/>
                <w:sz w:val="18"/>
                <w:szCs w:val="18"/>
              </w:rPr>
              <w:t>646.3</w:t>
            </w:r>
            <w:r w:rsidRPr="00286AB1">
              <w:rPr>
                <w:rFonts w:ascii="Arial" w:eastAsia="Times New Roman" w:hAnsi="Arial" w:cs="Arial"/>
                <w:color w:val="000000" w:themeColor="text1"/>
                <w:sz w:val="18"/>
                <w:szCs w:val="18"/>
              </w:rPr>
              <w:t>M</w:t>
            </w:r>
          </w:p>
        </w:tc>
        <w:tc>
          <w:tcPr>
            <w:tcW w:w="1290" w:type="dxa"/>
          </w:tcPr>
          <w:p w14:paraId="5C02BECD" w14:textId="34F8D564"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8A3FB7">
              <w:rPr>
                <w:rFonts w:ascii="Arial" w:hAnsi="Arial" w:cs="Arial"/>
                <w:color w:val="000000"/>
                <w:sz w:val="18"/>
                <w:szCs w:val="18"/>
              </w:rPr>
              <w:t>6.1</w:t>
            </w:r>
            <w:r w:rsidRPr="003E754F">
              <w:rPr>
                <w:rFonts w:ascii="Arial" w:hAnsi="Arial" w:cs="Arial"/>
                <w:color w:val="000000"/>
                <w:sz w:val="18"/>
                <w:szCs w:val="18"/>
              </w:rPr>
              <w:t>%</w:t>
            </w:r>
          </w:p>
        </w:tc>
        <w:tc>
          <w:tcPr>
            <w:tcW w:w="1440" w:type="dxa"/>
            <w:vAlign w:val="center"/>
          </w:tcPr>
          <w:p w14:paraId="705E93BD" w14:textId="340E2AA3"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7.7</w:t>
            </w:r>
            <w:r w:rsidRPr="00103FB9">
              <w:rPr>
                <w:rFonts w:ascii="Arial" w:hAnsi="Arial" w:cs="Arial"/>
                <w:color w:val="000000"/>
                <w:sz w:val="18"/>
                <w:szCs w:val="18"/>
              </w:rPr>
              <w:t>%</w:t>
            </w:r>
          </w:p>
        </w:tc>
      </w:tr>
      <w:tr w:rsidR="00F82D45" w:rsidRPr="00FA2F0F" w14:paraId="21E073A7" w14:textId="77777777" w:rsidTr="00F82D4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AB08DCB" w14:textId="77777777" w:rsidR="00F82D45" w:rsidRPr="00103FB9" w:rsidRDefault="00F82D45" w:rsidP="00F82D4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tilapia</w:t>
            </w:r>
          </w:p>
        </w:tc>
        <w:tc>
          <w:tcPr>
            <w:tcW w:w="1455" w:type="dxa"/>
            <w:vAlign w:val="center"/>
          </w:tcPr>
          <w:p w14:paraId="323C572D" w14:textId="4C59AF89"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8A3FB7">
              <w:rPr>
                <w:rFonts w:ascii="Arial" w:eastAsia="Times New Roman" w:hAnsi="Arial" w:cs="Arial"/>
                <w:color w:val="000000" w:themeColor="text1"/>
                <w:sz w:val="18"/>
                <w:szCs w:val="18"/>
              </w:rPr>
              <w:t>56.3</w:t>
            </w:r>
            <w:r w:rsidRPr="00F74141">
              <w:rPr>
                <w:rFonts w:ascii="Arial" w:eastAsia="Times New Roman" w:hAnsi="Arial" w:cs="Arial"/>
                <w:color w:val="000000" w:themeColor="text1"/>
                <w:sz w:val="18"/>
                <w:szCs w:val="18"/>
              </w:rPr>
              <w:t>M</w:t>
            </w:r>
          </w:p>
        </w:tc>
        <w:tc>
          <w:tcPr>
            <w:tcW w:w="1455" w:type="dxa"/>
          </w:tcPr>
          <w:p w14:paraId="4FE91630" w14:textId="0377E282"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8A3FB7">
              <w:rPr>
                <w:rFonts w:ascii="Arial" w:hAnsi="Arial" w:cs="Arial"/>
                <w:color w:val="000000"/>
                <w:sz w:val="18"/>
                <w:szCs w:val="18"/>
              </w:rPr>
              <w:t>18.7</w:t>
            </w:r>
            <w:r w:rsidRPr="006229B6">
              <w:rPr>
                <w:rFonts w:ascii="Arial" w:hAnsi="Arial" w:cs="Arial"/>
                <w:color w:val="000000"/>
                <w:sz w:val="18"/>
                <w:szCs w:val="18"/>
              </w:rPr>
              <w:t>%</w:t>
            </w:r>
          </w:p>
        </w:tc>
        <w:tc>
          <w:tcPr>
            <w:tcW w:w="1500" w:type="dxa"/>
          </w:tcPr>
          <w:p w14:paraId="3C051C29" w14:textId="5EAF4A58"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8A3FB7">
              <w:rPr>
                <w:rFonts w:ascii="Arial" w:hAnsi="Arial" w:cs="Arial"/>
                <w:color w:val="000000"/>
                <w:sz w:val="18"/>
                <w:szCs w:val="18"/>
              </w:rPr>
              <w:t>16.8</w:t>
            </w:r>
            <w:r w:rsidRPr="006229B6">
              <w:rPr>
                <w:rFonts w:ascii="Arial" w:hAnsi="Arial" w:cs="Arial"/>
                <w:color w:val="000000"/>
                <w:sz w:val="18"/>
                <w:szCs w:val="18"/>
              </w:rPr>
              <w:t>%</w:t>
            </w:r>
          </w:p>
        </w:tc>
        <w:tc>
          <w:tcPr>
            <w:tcW w:w="1410" w:type="dxa"/>
            <w:vAlign w:val="center"/>
          </w:tcPr>
          <w:p w14:paraId="2B1619E0" w14:textId="532FBA4C"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8A3FB7">
              <w:rPr>
                <w:rFonts w:ascii="Arial" w:eastAsia="Times New Roman" w:hAnsi="Arial" w:cs="Arial"/>
                <w:color w:val="000000" w:themeColor="text1"/>
                <w:sz w:val="18"/>
                <w:szCs w:val="18"/>
              </w:rPr>
              <w:t>573.4</w:t>
            </w:r>
            <w:r w:rsidRPr="00286AB1">
              <w:rPr>
                <w:rFonts w:ascii="Arial" w:eastAsia="Times New Roman" w:hAnsi="Arial" w:cs="Arial"/>
                <w:color w:val="000000" w:themeColor="text1"/>
                <w:sz w:val="18"/>
                <w:szCs w:val="18"/>
              </w:rPr>
              <w:t>M</w:t>
            </w:r>
          </w:p>
        </w:tc>
        <w:tc>
          <w:tcPr>
            <w:tcW w:w="1290" w:type="dxa"/>
          </w:tcPr>
          <w:p w14:paraId="09EB7D12" w14:textId="1426D5DC"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8A3FB7">
              <w:rPr>
                <w:rFonts w:ascii="Arial" w:hAnsi="Arial" w:cs="Arial"/>
                <w:color w:val="000000"/>
                <w:sz w:val="18"/>
                <w:szCs w:val="18"/>
              </w:rPr>
              <w:t>6.8</w:t>
            </w:r>
            <w:r w:rsidRPr="003E754F">
              <w:rPr>
                <w:rFonts w:ascii="Arial" w:hAnsi="Arial" w:cs="Arial"/>
                <w:color w:val="000000"/>
                <w:sz w:val="18"/>
                <w:szCs w:val="18"/>
              </w:rPr>
              <w:t>%</w:t>
            </w:r>
          </w:p>
        </w:tc>
        <w:tc>
          <w:tcPr>
            <w:tcW w:w="1440" w:type="dxa"/>
            <w:vAlign w:val="center"/>
          </w:tcPr>
          <w:p w14:paraId="2A29D516" w14:textId="2A5D4843" w:rsidR="00F82D45" w:rsidRPr="00103FB9" w:rsidRDefault="000319F3"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3.4</w:t>
            </w:r>
            <w:r w:rsidR="00F82D45" w:rsidRPr="00103FB9">
              <w:rPr>
                <w:rFonts w:ascii="Arial" w:hAnsi="Arial" w:cs="Arial"/>
                <w:color w:val="000000"/>
                <w:sz w:val="18"/>
                <w:szCs w:val="18"/>
              </w:rPr>
              <w:t>%</w:t>
            </w:r>
          </w:p>
        </w:tc>
      </w:tr>
      <w:tr w:rsidR="00F82D45" w:rsidRPr="00FA2F0F" w14:paraId="7CEF3C20" w14:textId="77777777" w:rsidTr="00F82D45">
        <w:trPr>
          <w:trHeight w:val="296"/>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2EBF51EF" w:rsidR="00F82D45" w:rsidRPr="00103FB9" w:rsidRDefault="00F82D45" w:rsidP="00F82D4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crab</w:t>
            </w:r>
          </w:p>
        </w:tc>
        <w:tc>
          <w:tcPr>
            <w:tcW w:w="1455" w:type="dxa"/>
            <w:vAlign w:val="center"/>
          </w:tcPr>
          <w:p w14:paraId="1FA12974" w14:textId="75EF3AB3"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8A3FB7">
              <w:rPr>
                <w:rFonts w:ascii="Arial" w:eastAsia="Times New Roman" w:hAnsi="Arial" w:cs="Arial"/>
                <w:color w:val="000000" w:themeColor="text1"/>
                <w:sz w:val="18"/>
                <w:szCs w:val="18"/>
              </w:rPr>
              <w:t>25.9</w:t>
            </w:r>
            <w:r w:rsidRPr="00F74141">
              <w:rPr>
                <w:rFonts w:ascii="Arial" w:eastAsia="Times New Roman" w:hAnsi="Arial" w:cs="Arial"/>
                <w:color w:val="000000" w:themeColor="text1"/>
                <w:sz w:val="18"/>
                <w:szCs w:val="18"/>
              </w:rPr>
              <w:t>M</w:t>
            </w:r>
          </w:p>
        </w:tc>
        <w:tc>
          <w:tcPr>
            <w:tcW w:w="1455" w:type="dxa"/>
          </w:tcPr>
          <w:p w14:paraId="04C006FC" w14:textId="2216FBF2"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8A3FB7">
              <w:rPr>
                <w:rFonts w:ascii="Arial" w:hAnsi="Arial" w:cs="Arial"/>
                <w:color w:val="000000"/>
                <w:sz w:val="18"/>
                <w:szCs w:val="18"/>
              </w:rPr>
              <w:t>14.5</w:t>
            </w:r>
            <w:r w:rsidRPr="006229B6">
              <w:rPr>
                <w:rFonts w:ascii="Arial" w:hAnsi="Arial" w:cs="Arial"/>
                <w:color w:val="000000"/>
                <w:sz w:val="18"/>
                <w:szCs w:val="18"/>
              </w:rPr>
              <w:t>%</w:t>
            </w:r>
          </w:p>
        </w:tc>
        <w:tc>
          <w:tcPr>
            <w:tcW w:w="1500" w:type="dxa"/>
          </w:tcPr>
          <w:p w14:paraId="55D89BBB" w14:textId="6D24F0D6" w:rsidR="00F82D45" w:rsidRPr="00103FB9" w:rsidRDefault="008A3FB7"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+2.2</w:t>
            </w:r>
            <w:r w:rsidR="00F82D45" w:rsidRPr="006229B6">
              <w:rPr>
                <w:rFonts w:ascii="Arial" w:hAnsi="Arial" w:cs="Arial"/>
                <w:color w:val="000000"/>
                <w:sz w:val="18"/>
                <w:szCs w:val="18"/>
              </w:rPr>
              <w:t>%</w:t>
            </w:r>
          </w:p>
        </w:tc>
        <w:tc>
          <w:tcPr>
            <w:tcW w:w="1410" w:type="dxa"/>
            <w:vAlign w:val="center"/>
          </w:tcPr>
          <w:p w14:paraId="02224226" w14:textId="0205638F"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8A3FB7">
              <w:rPr>
                <w:rFonts w:ascii="Arial" w:eastAsia="Times New Roman" w:hAnsi="Arial" w:cs="Arial"/>
                <w:color w:val="000000" w:themeColor="text1"/>
                <w:sz w:val="18"/>
                <w:szCs w:val="18"/>
              </w:rPr>
              <w:t>304.1</w:t>
            </w:r>
            <w:r w:rsidRPr="00286AB1">
              <w:rPr>
                <w:rFonts w:ascii="Arial" w:eastAsia="Times New Roman" w:hAnsi="Arial" w:cs="Arial"/>
                <w:color w:val="000000" w:themeColor="text1"/>
                <w:sz w:val="18"/>
                <w:szCs w:val="18"/>
              </w:rPr>
              <w:t>M</w:t>
            </w:r>
          </w:p>
        </w:tc>
        <w:tc>
          <w:tcPr>
            <w:tcW w:w="1290" w:type="dxa"/>
          </w:tcPr>
          <w:p w14:paraId="77504BA5" w14:textId="21EF3E5A"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8A3FB7">
              <w:rPr>
                <w:rFonts w:ascii="Arial" w:hAnsi="Arial" w:cs="Arial"/>
                <w:color w:val="000000"/>
                <w:sz w:val="18"/>
                <w:szCs w:val="18"/>
              </w:rPr>
              <w:t>12.1</w:t>
            </w:r>
            <w:r w:rsidRPr="003E754F">
              <w:rPr>
                <w:rFonts w:ascii="Arial" w:hAnsi="Arial" w:cs="Arial"/>
                <w:color w:val="000000"/>
                <w:sz w:val="18"/>
                <w:szCs w:val="18"/>
              </w:rPr>
              <w:t>%</w:t>
            </w:r>
          </w:p>
        </w:tc>
        <w:tc>
          <w:tcPr>
            <w:tcW w:w="1440" w:type="dxa"/>
            <w:vAlign w:val="center"/>
          </w:tcPr>
          <w:p w14:paraId="5E7300B6" w14:textId="49B80415" w:rsidR="00F82D45" w:rsidRPr="00103FB9" w:rsidRDefault="008A3FB7"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+0.5</w:t>
            </w:r>
            <w:r w:rsidR="00F82D45" w:rsidRPr="00103FB9">
              <w:rPr>
                <w:rFonts w:ascii="Arial" w:hAnsi="Arial" w:cs="Arial"/>
                <w:color w:val="000000"/>
                <w:sz w:val="18"/>
                <w:szCs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8" w:name="_Hlk121583547"/>
      <w:bookmarkStart w:id="9" w:name="_Hlk116291245"/>
    </w:p>
    <w:p w14:paraId="194F475B" w14:textId="77777777" w:rsidR="00FF2D5F" w:rsidRDefault="00FF2D5F" w:rsidP="000253BE">
      <w:pPr>
        <w:pStyle w:val="NoSpacing"/>
        <w:rPr>
          <w:rFonts w:ascii="Arial" w:hAnsi="Arial" w:cs="Arial"/>
          <w:b/>
          <w:color w:val="595959" w:themeColor="text1" w:themeTint="A6"/>
          <w:sz w:val="24"/>
          <w:szCs w:val="24"/>
        </w:rPr>
      </w:pPr>
    </w:p>
    <w:p w14:paraId="75CFE316" w14:textId="71234FAB" w:rsidR="00CD29D9" w:rsidRPr="00FA6FAE" w:rsidRDefault="00CD29D9" w:rsidP="00CD29D9">
      <w:pPr>
        <w:pStyle w:val="NoSpacing"/>
        <w:rPr>
          <w:rFonts w:ascii="Arial" w:hAnsi="Arial" w:cs="Arial"/>
          <w:b/>
          <w:bCs/>
          <w:color w:val="00857C"/>
          <w:sz w:val="24"/>
          <w:szCs w:val="24"/>
        </w:rPr>
      </w:pPr>
      <w:bookmarkStart w:id="10" w:name="_Hlk118920915"/>
      <w:bookmarkStart w:id="11" w:name="_Hlk127026660"/>
      <w:bookmarkEnd w:id="8"/>
      <w:bookmarkEnd w:id="9"/>
      <w:r w:rsidRPr="00FA6FAE">
        <w:rPr>
          <w:rFonts w:ascii="Arial" w:hAnsi="Arial" w:cs="Arial"/>
          <w:b/>
          <w:bCs/>
          <w:color w:val="00857C"/>
          <w:sz w:val="24"/>
          <w:szCs w:val="24"/>
        </w:rPr>
        <w:t>What’s Next?</w:t>
      </w:r>
    </w:p>
    <w:bookmarkEnd w:id="10"/>
    <w:bookmarkEnd w:id="11"/>
    <w:p w14:paraId="21547595" w14:textId="77777777" w:rsidR="00C217FB" w:rsidRPr="00795A46" w:rsidRDefault="00C217FB" w:rsidP="00C217FB">
      <w:pPr>
        <w:pStyle w:val="NoSpacing"/>
        <w:numPr>
          <w:ilvl w:val="0"/>
          <w:numId w:val="27"/>
        </w:numPr>
        <w:rPr>
          <w:rFonts w:ascii="Arial" w:hAnsi="Arial" w:cs="Arial"/>
          <w:sz w:val="20"/>
          <w:szCs w:val="20"/>
        </w:rPr>
      </w:pPr>
      <w:r w:rsidRPr="00795A46">
        <w:rPr>
          <w:rFonts w:ascii="Arial" w:hAnsi="Arial" w:cs="Arial"/>
          <w:sz w:val="20"/>
          <w:szCs w:val="20"/>
        </w:rPr>
        <w:t>The traditional supermarket share of total retail food and beverage sales held steady at 41.6%, while mass retailers grew their share to 15.8%</w:t>
      </w:r>
      <w:r>
        <w:rPr>
          <w:rFonts w:ascii="Arial" w:hAnsi="Arial" w:cs="Arial"/>
          <w:sz w:val="20"/>
          <w:szCs w:val="20"/>
        </w:rPr>
        <w:t xml:space="preserve"> in February 2026</w:t>
      </w:r>
      <w:r w:rsidRPr="00795A46">
        <w:rPr>
          <w:rFonts w:ascii="Arial" w:hAnsi="Arial" w:cs="Arial"/>
          <w:sz w:val="20"/>
          <w:szCs w:val="20"/>
        </w:rPr>
        <w:t>. E-commerce now represents 4.5% of all retail food and beverage sales. This share is somewhat lower for the perishable departments, as fresh products continue to under-index in online baskets.</w:t>
      </w:r>
    </w:p>
    <w:p w14:paraId="402FA5D4" w14:textId="77777777" w:rsidR="00C217FB" w:rsidRPr="00795A46" w:rsidRDefault="00C217FB" w:rsidP="00C217FB">
      <w:pPr>
        <w:pStyle w:val="NoSpacing"/>
        <w:numPr>
          <w:ilvl w:val="0"/>
          <w:numId w:val="27"/>
        </w:numPr>
        <w:rPr>
          <w:rFonts w:ascii="Arial" w:hAnsi="Arial" w:cs="Arial"/>
          <w:sz w:val="20"/>
          <w:szCs w:val="20"/>
        </w:rPr>
      </w:pPr>
      <w:r w:rsidRPr="00795A46">
        <w:rPr>
          <w:rFonts w:ascii="Arial" w:hAnsi="Arial" w:cs="Arial"/>
          <w:sz w:val="20"/>
          <w:szCs w:val="20"/>
        </w:rPr>
        <w:t>Concern over high food prices remained in the mid-nineties, with 95% of consumers somewhat or very concerned. The cost of groceries continues to drive a focus on deals, with 52% of consumers looking for sales specials more often. Additionally, 41% say they are cutting back on non-essentials.</w:t>
      </w:r>
    </w:p>
    <w:p w14:paraId="7EF9818A" w14:textId="77777777" w:rsidR="00C217FB" w:rsidRPr="00795A46" w:rsidRDefault="00C217FB" w:rsidP="00C217FB">
      <w:pPr>
        <w:pStyle w:val="NoSpacing"/>
        <w:numPr>
          <w:ilvl w:val="0"/>
          <w:numId w:val="27"/>
        </w:numPr>
        <w:rPr>
          <w:rFonts w:ascii="Arial" w:hAnsi="Arial" w:cs="Arial"/>
          <w:sz w:val="20"/>
          <w:szCs w:val="20"/>
        </w:rPr>
      </w:pPr>
      <w:r w:rsidRPr="00795A46">
        <w:rPr>
          <w:rFonts w:ascii="Arial" w:hAnsi="Arial" w:cs="Arial"/>
          <w:sz w:val="20"/>
          <w:szCs w:val="20"/>
        </w:rPr>
        <w:t>Consumers estimate</w:t>
      </w:r>
      <w:r>
        <w:rPr>
          <w:rFonts w:ascii="Arial" w:hAnsi="Arial" w:cs="Arial"/>
          <w:sz w:val="20"/>
          <w:szCs w:val="20"/>
        </w:rPr>
        <w:t>d</w:t>
      </w:r>
      <w:r w:rsidRPr="00795A46">
        <w:rPr>
          <w:rFonts w:ascii="Arial" w:hAnsi="Arial" w:cs="Arial"/>
          <w:sz w:val="20"/>
          <w:szCs w:val="20"/>
        </w:rPr>
        <w:t xml:space="preserve"> that 78.6% of all </w:t>
      </w:r>
      <w:r>
        <w:rPr>
          <w:rFonts w:ascii="Arial" w:hAnsi="Arial" w:cs="Arial"/>
          <w:sz w:val="20"/>
          <w:szCs w:val="20"/>
        </w:rPr>
        <w:t xml:space="preserve">February </w:t>
      </w:r>
      <w:r w:rsidRPr="00795A46">
        <w:rPr>
          <w:rFonts w:ascii="Arial" w:hAnsi="Arial" w:cs="Arial"/>
          <w:sz w:val="20"/>
          <w:szCs w:val="20"/>
        </w:rPr>
        <w:t xml:space="preserve">meals </w:t>
      </w:r>
      <w:r>
        <w:rPr>
          <w:rFonts w:ascii="Arial" w:hAnsi="Arial" w:cs="Arial"/>
          <w:sz w:val="20"/>
          <w:szCs w:val="20"/>
        </w:rPr>
        <w:t>we</w:t>
      </w:r>
      <w:r w:rsidRPr="00795A46">
        <w:rPr>
          <w:rFonts w:ascii="Arial" w:hAnsi="Arial" w:cs="Arial"/>
          <w:sz w:val="20"/>
          <w:szCs w:val="20"/>
        </w:rPr>
        <w:t>re sourced from home, according to the Circana survey of primary grocery shoppers. This share is lowest among Gen Z and younger Millennials (76.4%) and highest among shoppers ages 70+ (85.0%).</w:t>
      </w:r>
    </w:p>
    <w:p w14:paraId="44EB8EEF" w14:textId="77777777" w:rsidR="00C217FB" w:rsidRPr="00795A46" w:rsidRDefault="00C217FB" w:rsidP="00C217FB">
      <w:pPr>
        <w:pStyle w:val="NoSpacing"/>
        <w:numPr>
          <w:ilvl w:val="0"/>
          <w:numId w:val="27"/>
        </w:numPr>
        <w:rPr>
          <w:rFonts w:ascii="Arial" w:hAnsi="Arial" w:cs="Arial"/>
          <w:sz w:val="20"/>
          <w:szCs w:val="20"/>
        </w:rPr>
      </w:pPr>
      <w:r w:rsidRPr="00795A46">
        <w:rPr>
          <w:rFonts w:ascii="Arial" w:hAnsi="Arial" w:cs="Arial"/>
          <w:sz w:val="20"/>
          <w:szCs w:val="20"/>
        </w:rPr>
        <w:t xml:space="preserve">March has several food-driven occasions, including St. Patrick's Day and the NCAA </w:t>
      </w:r>
      <w:r>
        <w:rPr>
          <w:rFonts w:ascii="Arial" w:hAnsi="Arial" w:cs="Arial"/>
          <w:sz w:val="20"/>
          <w:szCs w:val="20"/>
        </w:rPr>
        <w:t>March Madness tournament</w:t>
      </w:r>
      <w:r w:rsidRPr="00795A46">
        <w:rPr>
          <w:rFonts w:ascii="Arial" w:hAnsi="Arial" w:cs="Arial"/>
          <w:sz w:val="20"/>
          <w:szCs w:val="20"/>
        </w:rPr>
        <w:t>, along with smaller opportunities such as Pi Day, when retailers often activate promotions around bakery pies, pizza, and frozen pies.</w:t>
      </w:r>
    </w:p>
    <w:p w14:paraId="1F565F1B" w14:textId="63B7DBE0" w:rsidR="00711273" w:rsidRDefault="00711273" w:rsidP="00637392">
      <w:pPr>
        <w:pStyle w:val="NoSpacing"/>
        <w:rPr>
          <w:rFonts w:ascii="Arial" w:hAnsi="Arial" w:cs="Arial"/>
          <w:b/>
          <w:sz w:val="20"/>
          <w:szCs w:val="20"/>
        </w:rPr>
      </w:pPr>
    </w:p>
    <w:p w14:paraId="1F7B132B" w14:textId="77777777" w:rsidR="00711273" w:rsidRDefault="00711273" w:rsidP="00637392">
      <w:pPr>
        <w:pStyle w:val="NoSpacing"/>
        <w:rPr>
          <w:rFonts w:ascii="Arial" w:hAnsi="Arial" w:cs="Arial"/>
          <w:b/>
          <w:sz w:val="20"/>
          <w:szCs w:val="20"/>
        </w:rPr>
        <w:sectPr w:rsidR="00711273" w:rsidSect="00EE3028">
          <w:headerReference w:type="default" r:id="rId12"/>
          <w:footerReference w:type="default" r:id="rId13"/>
          <w:type w:val="continuous"/>
          <w:pgSz w:w="12240" w:h="15840"/>
          <w:pgMar w:top="1135" w:right="758" w:bottom="810" w:left="851" w:header="708" w:footer="327" w:gutter="0"/>
          <w:cols w:space="708"/>
          <w:docGrid w:linePitch="360"/>
        </w:sectPr>
      </w:pPr>
    </w:p>
    <w:p w14:paraId="0AC9AE24" w14:textId="7408CECD"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10F280D1" w14:textId="059D4004" w:rsidR="001A30AF" w:rsidRPr="001A30AF" w:rsidRDefault="001A30AF" w:rsidP="00BA6703">
      <w:pPr>
        <w:pStyle w:val="NoSpacing"/>
        <w:rPr>
          <w:rFonts w:ascii="Arial" w:hAnsi="Arial" w:cs="Arial"/>
          <w:sz w:val="20"/>
          <w:szCs w:val="20"/>
        </w:rPr>
      </w:pPr>
      <w:r w:rsidRPr="001A30AF">
        <w:rPr>
          <w:rFonts w:ascii="Arial" w:hAnsi="Arial" w:cs="Arial"/>
          <w:sz w:val="20"/>
          <w:szCs w:val="20"/>
        </w:rPr>
        <w:t>2025: 52 weeks ending 12/28/2025</w:t>
      </w:r>
    </w:p>
    <w:p w14:paraId="7528FC86" w14:textId="77777777" w:rsidR="001A30AF" w:rsidRDefault="001A30AF" w:rsidP="00BA6703">
      <w:pPr>
        <w:pStyle w:val="NoSpacing"/>
        <w:rPr>
          <w:rFonts w:ascii="Arial" w:hAnsi="Arial" w:cs="Arial"/>
          <w:b/>
          <w:sz w:val="20"/>
          <w:szCs w:val="20"/>
        </w:rPr>
      </w:pP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23F69BC6" w14:textId="7ED1C75A" w:rsidR="00052FAF" w:rsidRDefault="00052FAF" w:rsidP="00BA6703">
      <w:pPr>
        <w:pStyle w:val="NoSpacing"/>
        <w:rPr>
          <w:rFonts w:ascii="Arial" w:hAnsi="Arial" w:cs="Arial"/>
          <w:sz w:val="20"/>
          <w:szCs w:val="20"/>
        </w:rPr>
      </w:pPr>
      <w:r>
        <w:rPr>
          <w:rFonts w:ascii="Arial" w:hAnsi="Arial" w:cs="Arial"/>
          <w:sz w:val="20"/>
          <w:szCs w:val="20"/>
        </w:rPr>
        <w:t>Q3 2025: 13 weeks ending 9/28/2025</w:t>
      </w:r>
    </w:p>
    <w:p w14:paraId="50D9B311" w14:textId="6AE832B5" w:rsidR="001A30AF" w:rsidRDefault="001A30AF" w:rsidP="00BA6703">
      <w:pPr>
        <w:pStyle w:val="NoSpacing"/>
        <w:rPr>
          <w:rFonts w:ascii="Arial" w:hAnsi="Arial" w:cs="Arial"/>
          <w:sz w:val="20"/>
          <w:szCs w:val="20"/>
        </w:rPr>
      </w:pPr>
      <w:r>
        <w:rPr>
          <w:rFonts w:ascii="Arial" w:hAnsi="Arial" w:cs="Arial"/>
          <w:sz w:val="20"/>
          <w:szCs w:val="20"/>
        </w:rPr>
        <w:t>Q4 2025: 13 weeks ending 12/28/2025</w:t>
      </w:r>
    </w:p>
    <w:p w14:paraId="328D51F3" w14:textId="6B443B11" w:rsidR="00BA6703" w:rsidRDefault="00C217FB" w:rsidP="00BA6703">
      <w:pPr>
        <w:pStyle w:val="NoSpacing"/>
        <w:rPr>
          <w:rFonts w:ascii="Arial" w:hAnsi="Arial" w:cs="Arial"/>
          <w:sz w:val="20"/>
          <w:szCs w:val="20"/>
        </w:rPr>
      </w:pPr>
      <w:r>
        <w:rPr>
          <w:rFonts w:ascii="Arial" w:hAnsi="Arial" w:cs="Arial"/>
          <w:sz w:val="20"/>
          <w:szCs w:val="20"/>
        </w:rPr>
        <w:t xml:space="preserve">February </w:t>
      </w:r>
      <w:r w:rsidR="002329BC">
        <w:rPr>
          <w:rFonts w:ascii="Arial" w:hAnsi="Arial" w:cs="Arial"/>
          <w:sz w:val="20"/>
          <w:szCs w:val="20"/>
        </w:rPr>
        <w:t>2026</w:t>
      </w:r>
      <w:r w:rsidR="00B43838">
        <w:rPr>
          <w:rFonts w:ascii="Arial" w:hAnsi="Arial" w:cs="Arial"/>
          <w:sz w:val="20"/>
          <w:szCs w:val="20"/>
        </w:rPr>
        <w:t xml:space="preserve">: </w:t>
      </w:r>
      <w:r>
        <w:rPr>
          <w:rFonts w:ascii="Arial" w:hAnsi="Arial" w:cs="Arial"/>
          <w:sz w:val="20"/>
          <w:szCs w:val="20"/>
        </w:rPr>
        <w:t>4</w:t>
      </w:r>
      <w:r w:rsidR="00103FB9">
        <w:rPr>
          <w:rFonts w:ascii="Arial" w:hAnsi="Arial" w:cs="Arial"/>
          <w:sz w:val="20"/>
          <w:szCs w:val="20"/>
        </w:rPr>
        <w:t xml:space="preserve"> </w:t>
      </w:r>
      <w:r w:rsidR="00046AD4">
        <w:rPr>
          <w:rFonts w:ascii="Arial" w:hAnsi="Arial" w:cs="Arial"/>
          <w:sz w:val="20"/>
          <w:szCs w:val="20"/>
        </w:rPr>
        <w:t xml:space="preserve">weeks ending </w:t>
      </w:r>
      <w:r w:rsidR="002329BC">
        <w:rPr>
          <w:rFonts w:ascii="Arial" w:hAnsi="Arial" w:cs="Arial"/>
          <w:sz w:val="20"/>
          <w:szCs w:val="20"/>
        </w:rPr>
        <w:t>0</w:t>
      </w:r>
      <w:r>
        <w:rPr>
          <w:rFonts w:ascii="Arial" w:hAnsi="Arial" w:cs="Arial"/>
          <w:sz w:val="20"/>
          <w:szCs w:val="20"/>
        </w:rPr>
        <w:t>3</w:t>
      </w:r>
      <w:r w:rsidR="002329BC">
        <w:rPr>
          <w:rFonts w:ascii="Arial" w:hAnsi="Arial" w:cs="Arial"/>
          <w:sz w:val="20"/>
          <w:szCs w:val="20"/>
        </w:rPr>
        <w:t>/01</w:t>
      </w:r>
      <w:r w:rsidR="00A357C9">
        <w:rPr>
          <w:rFonts w:ascii="Arial" w:hAnsi="Arial" w:cs="Arial"/>
          <w:sz w:val="20"/>
          <w:szCs w:val="20"/>
        </w:rPr>
        <w:t>/</w:t>
      </w:r>
      <w:r w:rsidR="00046AD4">
        <w:rPr>
          <w:rFonts w:ascii="Arial" w:hAnsi="Arial" w:cs="Arial"/>
          <w:sz w:val="20"/>
          <w:szCs w:val="20"/>
        </w:rPr>
        <w:t>2025</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4"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5"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6"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728D9C95" w14:textId="443D7FCC" w:rsidR="00BA6703" w:rsidRPr="00B73FEA" w:rsidRDefault="00BA6703" w:rsidP="00BA6703">
      <w:pPr>
        <w:pStyle w:val="NoSpacing"/>
        <w:rPr>
          <w:rFonts w:ascii="Arial" w:hAnsi="Arial" w:cs="Arial"/>
          <w:sz w:val="20"/>
          <w:szCs w:val="20"/>
        </w:rPr>
      </w:pPr>
    </w:p>
    <w:sectPr w:rsidR="00BA6703" w:rsidRPr="00B73FEA" w:rsidSect="00020EF9">
      <w:headerReference w:type="default" r:id="rId17"/>
      <w:footerReference w:type="default" r:id="rId18"/>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AEC8" w14:textId="77777777" w:rsidR="00EB43D6" w:rsidRDefault="00EB43D6" w:rsidP="005C6A11">
      <w:pPr>
        <w:spacing w:after="0" w:line="240" w:lineRule="auto"/>
      </w:pPr>
      <w:r>
        <w:separator/>
      </w:r>
    </w:p>
  </w:endnote>
  <w:endnote w:type="continuationSeparator" w:id="0">
    <w:p w14:paraId="26C5EC3B" w14:textId="77777777" w:rsidR="00EB43D6" w:rsidRDefault="00EB43D6"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08105C" w:rsidRPr="001C4C48" w:rsidRDefault="0008105C"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08105C" w:rsidRPr="00030F05" w:rsidRDefault="0008105C"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08105C" w:rsidRPr="00D43137" w:rsidRDefault="0008105C"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08105C" w:rsidRPr="00D43137" w:rsidRDefault="0008105C"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2869DE13" w14:textId="7F6C9337" w:rsidR="0008105C" w:rsidRDefault="0008105C" w:rsidP="005C6A11">
    <w:pPr>
      <w:pStyle w:val="NoSpacing"/>
    </w:pPr>
    <w:hyperlink r:id="rId3" w:history="1">
      <w:r w:rsidRPr="00EE3028">
        <w:rPr>
          <w:rStyle w:val="Hyperlink"/>
          <w:sz w:val="16"/>
        </w:rPr>
        <w:t>Or reach us here</w:t>
      </w:r>
    </w:hyperlink>
    <w:r>
      <w:rPr>
        <w:sz w:val="16"/>
      </w:rPr>
      <w:tab/>
    </w:r>
    <w:r>
      <w:rPr>
        <w:sz w:val="16"/>
      </w:rPr>
      <w:tab/>
    </w:r>
    <w:r>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08105C" w:rsidRPr="001C4C48" w:rsidRDefault="0008105C"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08105C" w:rsidRPr="00030F05" w:rsidRDefault="0008105C"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08105C" w:rsidRPr="00D43137" w:rsidRDefault="0008105C"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08105C" w:rsidRPr="00D43137" w:rsidRDefault="0008105C"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08105C" w:rsidRDefault="0008105C"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9BD8" w14:textId="77777777" w:rsidR="00EB43D6" w:rsidRDefault="00EB43D6" w:rsidP="005C6A11">
      <w:pPr>
        <w:spacing w:after="0" w:line="240" w:lineRule="auto"/>
      </w:pPr>
      <w:r>
        <w:separator/>
      </w:r>
    </w:p>
  </w:footnote>
  <w:footnote w:type="continuationSeparator" w:id="0">
    <w:p w14:paraId="48434DC1" w14:textId="77777777" w:rsidR="00EB43D6" w:rsidRDefault="00EB43D6"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B7473C" w:rsidR="0008105C" w:rsidRDefault="0008105C">
    <w:pPr>
      <w:pStyle w:val="Header"/>
    </w:pPr>
    <w:r>
      <w:rPr>
        <w:noProof/>
        <w:lang w:val="nl-NL" w:eastAsia="nl-NL"/>
      </w:rPr>
      <mc:AlternateContent>
        <mc:Choice Requires="wps">
          <w:drawing>
            <wp:anchor distT="0" distB="0" distL="114300" distR="114300" simplePos="0" relativeHeight="251686912" behindDoc="0" locked="0" layoutInCell="1" allowOverlap="1" wp14:anchorId="43C728C5" wp14:editId="39AD3FC2">
              <wp:simplePos x="0" y="0"/>
              <wp:positionH relativeFrom="margin">
                <wp:posOffset>3094272</wp:posOffset>
              </wp:positionH>
              <wp:positionV relativeFrom="paragraph">
                <wp:posOffset>-170208</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43.65pt;margin-top:-13.4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" filled="f" stroked="f" strokeweight=".5pt">
              <v:textbox>
                <w:txbxContent>
                  <w:p w14:paraId="3DBD0102" w14:textId="7777777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410748F5">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7DCFA7"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08105C" w:rsidRPr="00C24355" w:rsidRDefault="0008105C">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08105C" w:rsidRPr="00C24355" w:rsidRDefault="0008105C">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08105C" w:rsidRDefault="0008105C">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08105C" w:rsidRPr="00C24355" w:rsidRDefault="0008105C">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08105C" w:rsidRPr="00C24355" w:rsidRDefault="0008105C">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A05FD"/>
    <w:multiLevelType w:val="hybridMultilevel"/>
    <w:tmpl w:val="F0347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0107A2"/>
    <w:multiLevelType w:val="multilevel"/>
    <w:tmpl w:val="E02CB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0B0BAE"/>
    <w:multiLevelType w:val="hybridMultilevel"/>
    <w:tmpl w:val="6944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D376FA"/>
    <w:multiLevelType w:val="hybridMultilevel"/>
    <w:tmpl w:val="31D420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844A83"/>
    <w:multiLevelType w:val="hybridMultilevel"/>
    <w:tmpl w:val="7AC41E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5425254"/>
    <w:multiLevelType w:val="hybridMultilevel"/>
    <w:tmpl w:val="54D25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9A78BC"/>
    <w:multiLevelType w:val="hybridMultilevel"/>
    <w:tmpl w:val="315A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12390"/>
    <w:multiLevelType w:val="hybridMultilevel"/>
    <w:tmpl w:val="0420B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812326"/>
    <w:multiLevelType w:val="hybridMultilevel"/>
    <w:tmpl w:val="1E90C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E9152D"/>
    <w:multiLevelType w:val="hybridMultilevel"/>
    <w:tmpl w:val="3A869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327425"/>
    <w:multiLevelType w:val="multilevel"/>
    <w:tmpl w:val="C3CE5D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AA62082"/>
    <w:multiLevelType w:val="hybridMultilevel"/>
    <w:tmpl w:val="BAF26B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800E66"/>
    <w:multiLevelType w:val="hybridMultilevel"/>
    <w:tmpl w:val="1256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1A472B"/>
    <w:multiLevelType w:val="hybridMultilevel"/>
    <w:tmpl w:val="FE6884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CE5E23"/>
    <w:multiLevelType w:val="hybridMultilevel"/>
    <w:tmpl w:val="3EF22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7109073">
    <w:abstractNumId w:val="0"/>
  </w:num>
  <w:num w:numId="2" w16cid:durableId="63141273">
    <w:abstractNumId w:val="7"/>
  </w:num>
  <w:num w:numId="3" w16cid:durableId="624774504">
    <w:abstractNumId w:val="12"/>
  </w:num>
  <w:num w:numId="4" w16cid:durableId="314575257">
    <w:abstractNumId w:val="8"/>
  </w:num>
  <w:num w:numId="5" w16cid:durableId="2061202650">
    <w:abstractNumId w:val="18"/>
  </w:num>
  <w:num w:numId="6" w16cid:durableId="612323871">
    <w:abstractNumId w:val="10"/>
  </w:num>
  <w:num w:numId="7" w16cid:durableId="1692414098">
    <w:abstractNumId w:val="24"/>
  </w:num>
  <w:num w:numId="8" w16cid:durableId="669599523">
    <w:abstractNumId w:val="15"/>
  </w:num>
  <w:num w:numId="9" w16cid:durableId="199785136">
    <w:abstractNumId w:val="5"/>
  </w:num>
  <w:num w:numId="10" w16cid:durableId="1079592700">
    <w:abstractNumId w:val="2"/>
  </w:num>
  <w:num w:numId="11" w16cid:durableId="1354724624">
    <w:abstractNumId w:val="14"/>
  </w:num>
  <w:num w:numId="12" w16cid:durableId="467431544">
    <w:abstractNumId w:val="11"/>
  </w:num>
  <w:num w:numId="13" w16cid:durableId="1455562688">
    <w:abstractNumId w:val="23"/>
  </w:num>
  <w:num w:numId="14" w16cid:durableId="150946965">
    <w:abstractNumId w:val="4"/>
  </w:num>
  <w:num w:numId="15" w16cid:durableId="512845447">
    <w:abstractNumId w:val="3"/>
  </w:num>
  <w:num w:numId="16" w16cid:durableId="793446321">
    <w:abstractNumId w:val="16"/>
  </w:num>
  <w:num w:numId="17" w16cid:durableId="1237666501">
    <w:abstractNumId w:val="20"/>
  </w:num>
  <w:num w:numId="18" w16cid:durableId="221525505">
    <w:abstractNumId w:val="1"/>
  </w:num>
  <w:num w:numId="19" w16cid:durableId="295138649">
    <w:abstractNumId w:val="17"/>
  </w:num>
  <w:num w:numId="20" w16cid:durableId="1077093204">
    <w:abstractNumId w:val="25"/>
  </w:num>
  <w:num w:numId="21" w16cid:durableId="1905556929">
    <w:abstractNumId w:val="22"/>
  </w:num>
  <w:num w:numId="22" w16cid:durableId="636186451">
    <w:abstractNumId w:val="9"/>
  </w:num>
  <w:num w:numId="23" w16cid:durableId="1737392125">
    <w:abstractNumId w:val="21"/>
  </w:num>
  <w:num w:numId="24" w16cid:durableId="1630280933">
    <w:abstractNumId w:val="13"/>
  </w:num>
  <w:num w:numId="25" w16cid:durableId="1942954852">
    <w:abstractNumId w:val="26"/>
  </w:num>
  <w:num w:numId="26" w16cid:durableId="611087651">
    <w:abstractNumId w:val="6"/>
  </w:num>
  <w:num w:numId="27" w16cid:durableId="143204917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E4C"/>
    <w:rsid w:val="00010FAD"/>
    <w:rsid w:val="000110DE"/>
    <w:rsid w:val="00011615"/>
    <w:rsid w:val="00012656"/>
    <w:rsid w:val="000143E1"/>
    <w:rsid w:val="0001613E"/>
    <w:rsid w:val="00020EF9"/>
    <w:rsid w:val="0002118C"/>
    <w:rsid w:val="00021465"/>
    <w:rsid w:val="000253BE"/>
    <w:rsid w:val="00025776"/>
    <w:rsid w:val="000307ED"/>
    <w:rsid w:val="00030E1C"/>
    <w:rsid w:val="000319F3"/>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2FAF"/>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0FE7"/>
    <w:rsid w:val="0008105C"/>
    <w:rsid w:val="0008427E"/>
    <w:rsid w:val="00085149"/>
    <w:rsid w:val="0008518D"/>
    <w:rsid w:val="0008541E"/>
    <w:rsid w:val="00086EE5"/>
    <w:rsid w:val="000873B8"/>
    <w:rsid w:val="000900F7"/>
    <w:rsid w:val="0009017B"/>
    <w:rsid w:val="00092982"/>
    <w:rsid w:val="0009299A"/>
    <w:rsid w:val="0009344B"/>
    <w:rsid w:val="0009383A"/>
    <w:rsid w:val="000941C5"/>
    <w:rsid w:val="00094A14"/>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631"/>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C6C8E"/>
    <w:rsid w:val="000D0AD4"/>
    <w:rsid w:val="000D1817"/>
    <w:rsid w:val="000D1A58"/>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3FB9"/>
    <w:rsid w:val="0010455E"/>
    <w:rsid w:val="00105762"/>
    <w:rsid w:val="001079DA"/>
    <w:rsid w:val="001100BE"/>
    <w:rsid w:val="00110DFD"/>
    <w:rsid w:val="00113D91"/>
    <w:rsid w:val="00114591"/>
    <w:rsid w:val="00114FC3"/>
    <w:rsid w:val="0011578C"/>
    <w:rsid w:val="00117294"/>
    <w:rsid w:val="00120015"/>
    <w:rsid w:val="00120646"/>
    <w:rsid w:val="00120EE3"/>
    <w:rsid w:val="001213B4"/>
    <w:rsid w:val="00121EF3"/>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639"/>
    <w:rsid w:val="001329AC"/>
    <w:rsid w:val="00132CD2"/>
    <w:rsid w:val="0013390F"/>
    <w:rsid w:val="0013564D"/>
    <w:rsid w:val="00135864"/>
    <w:rsid w:val="00135D06"/>
    <w:rsid w:val="00137A93"/>
    <w:rsid w:val="00137B83"/>
    <w:rsid w:val="00137DAB"/>
    <w:rsid w:val="00141DD4"/>
    <w:rsid w:val="00143263"/>
    <w:rsid w:val="001435B5"/>
    <w:rsid w:val="001445C0"/>
    <w:rsid w:val="0014464A"/>
    <w:rsid w:val="0014496F"/>
    <w:rsid w:val="001455FE"/>
    <w:rsid w:val="001462DB"/>
    <w:rsid w:val="0014683D"/>
    <w:rsid w:val="00146A75"/>
    <w:rsid w:val="00147757"/>
    <w:rsid w:val="00147B4C"/>
    <w:rsid w:val="00147ED0"/>
    <w:rsid w:val="00150F85"/>
    <w:rsid w:val="00151A49"/>
    <w:rsid w:val="00151C32"/>
    <w:rsid w:val="00152886"/>
    <w:rsid w:val="00153180"/>
    <w:rsid w:val="00153C00"/>
    <w:rsid w:val="00153FDF"/>
    <w:rsid w:val="001544DD"/>
    <w:rsid w:val="00154919"/>
    <w:rsid w:val="00155452"/>
    <w:rsid w:val="00156328"/>
    <w:rsid w:val="001564BA"/>
    <w:rsid w:val="00156C65"/>
    <w:rsid w:val="00160D81"/>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39AB"/>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30AF"/>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70B"/>
    <w:rsid w:val="001E0A19"/>
    <w:rsid w:val="001E0CFE"/>
    <w:rsid w:val="001E121C"/>
    <w:rsid w:val="001E1724"/>
    <w:rsid w:val="001E1895"/>
    <w:rsid w:val="001E1E58"/>
    <w:rsid w:val="001E3AA0"/>
    <w:rsid w:val="001E3C84"/>
    <w:rsid w:val="001E4D03"/>
    <w:rsid w:val="001E5E9F"/>
    <w:rsid w:val="001E7CC9"/>
    <w:rsid w:val="001F070E"/>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9BC"/>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0D03"/>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7737A"/>
    <w:rsid w:val="00280176"/>
    <w:rsid w:val="00280DC0"/>
    <w:rsid w:val="00281F4C"/>
    <w:rsid w:val="002833E7"/>
    <w:rsid w:val="00283E08"/>
    <w:rsid w:val="00283E42"/>
    <w:rsid w:val="00284EB9"/>
    <w:rsid w:val="00286236"/>
    <w:rsid w:val="00286CA5"/>
    <w:rsid w:val="0029067D"/>
    <w:rsid w:val="00290936"/>
    <w:rsid w:val="0029148F"/>
    <w:rsid w:val="00292DD8"/>
    <w:rsid w:val="00293CE8"/>
    <w:rsid w:val="0029447C"/>
    <w:rsid w:val="00294807"/>
    <w:rsid w:val="00295B72"/>
    <w:rsid w:val="00296966"/>
    <w:rsid w:val="002A02A9"/>
    <w:rsid w:val="002A3A29"/>
    <w:rsid w:val="002A5DB0"/>
    <w:rsid w:val="002A6CBA"/>
    <w:rsid w:val="002A7184"/>
    <w:rsid w:val="002A7FDF"/>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C7B87"/>
    <w:rsid w:val="002D01B0"/>
    <w:rsid w:val="002D1020"/>
    <w:rsid w:val="002D1953"/>
    <w:rsid w:val="002D24B9"/>
    <w:rsid w:val="002D2527"/>
    <w:rsid w:val="002D28C1"/>
    <w:rsid w:val="002D29C4"/>
    <w:rsid w:val="002D2D4C"/>
    <w:rsid w:val="002D3EC1"/>
    <w:rsid w:val="002D41E8"/>
    <w:rsid w:val="002D54F8"/>
    <w:rsid w:val="002D5FE5"/>
    <w:rsid w:val="002D60F8"/>
    <w:rsid w:val="002D787F"/>
    <w:rsid w:val="002D7DB5"/>
    <w:rsid w:val="002D7E4E"/>
    <w:rsid w:val="002E1A89"/>
    <w:rsid w:val="002E3222"/>
    <w:rsid w:val="002E5411"/>
    <w:rsid w:val="002E5A1E"/>
    <w:rsid w:val="002E5BF9"/>
    <w:rsid w:val="002E6207"/>
    <w:rsid w:val="002E64BE"/>
    <w:rsid w:val="002E64E3"/>
    <w:rsid w:val="002E7F2E"/>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17543"/>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4CD7"/>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55E7"/>
    <w:rsid w:val="00356017"/>
    <w:rsid w:val="00356FB0"/>
    <w:rsid w:val="00357E1B"/>
    <w:rsid w:val="00360523"/>
    <w:rsid w:val="0036063A"/>
    <w:rsid w:val="00363C22"/>
    <w:rsid w:val="00370395"/>
    <w:rsid w:val="003729C5"/>
    <w:rsid w:val="00374030"/>
    <w:rsid w:val="0037441C"/>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6CA7"/>
    <w:rsid w:val="003970D8"/>
    <w:rsid w:val="003979A8"/>
    <w:rsid w:val="003A0E5B"/>
    <w:rsid w:val="003A13BB"/>
    <w:rsid w:val="003A2E68"/>
    <w:rsid w:val="003A30FF"/>
    <w:rsid w:val="003A315E"/>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0A39"/>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0DC"/>
    <w:rsid w:val="00401D64"/>
    <w:rsid w:val="004028C6"/>
    <w:rsid w:val="00402C0C"/>
    <w:rsid w:val="00402DF3"/>
    <w:rsid w:val="00402E47"/>
    <w:rsid w:val="004036DF"/>
    <w:rsid w:val="00403FE5"/>
    <w:rsid w:val="00405642"/>
    <w:rsid w:val="004064C8"/>
    <w:rsid w:val="00406FB2"/>
    <w:rsid w:val="0040784A"/>
    <w:rsid w:val="00407D9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75B"/>
    <w:rsid w:val="004319AD"/>
    <w:rsid w:val="00431A8D"/>
    <w:rsid w:val="0043213F"/>
    <w:rsid w:val="004360FF"/>
    <w:rsid w:val="00436786"/>
    <w:rsid w:val="00437672"/>
    <w:rsid w:val="0044018B"/>
    <w:rsid w:val="004409E5"/>
    <w:rsid w:val="004412D1"/>
    <w:rsid w:val="004429C8"/>
    <w:rsid w:val="00442CE4"/>
    <w:rsid w:val="004439EF"/>
    <w:rsid w:val="00443B41"/>
    <w:rsid w:val="0044446E"/>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36AA"/>
    <w:rsid w:val="00466121"/>
    <w:rsid w:val="004679F9"/>
    <w:rsid w:val="0047112E"/>
    <w:rsid w:val="0047126A"/>
    <w:rsid w:val="00473683"/>
    <w:rsid w:val="004737EB"/>
    <w:rsid w:val="00475EC7"/>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067D"/>
    <w:rsid w:val="0049226F"/>
    <w:rsid w:val="0049234C"/>
    <w:rsid w:val="00492743"/>
    <w:rsid w:val="004927EF"/>
    <w:rsid w:val="0049346A"/>
    <w:rsid w:val="004934F4"/>
    <w:rsid w:val="00495543"/>
    <w:rsid w:val="00496DD4"/>
    <w:rsid w:val="004970F6"/>
    <w:rsid w:val="0049727C"/>
    <w:rsid w:val="00497294"/>
    <w:rsid w:val="00497703"/>
    <w:rsid w:val="004A06BE"/>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471"/>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3BFD"/>
    <w:rsid w:val="004C483E"/>
    <w:rsid w:val="004C523D"/>
    <w:rsid w:val="004C7AAC"/>
    <w:rsid w:val="004D013F"/>
    <w:rsid w:val="004D1E3B"/>
    <w:rsid w:val="004D25E1"/>
    <w:rsid w:val="004D2E26"/>
    <w:rsid w:val="004D332F"/>
    <w:rsid w:val="004D3672"/>
    <w:rsid w:val="004D3E3E"/>
    <w:rsid w:val="004D403F"/>
    <w:rsid w:val="004D55C3"/>
    <w:rsid w:val="004D6C5F"/>
    <w:rsid w:val="004D79DF"/>
    <w:rsid w:val="004E4268"/>
    <w:rsid w:val="004E4532"/>
    <w:rsid w:val="004E5665"/>
    <w:rsid w:val="004E5BFD"/>
    <w:rsid w:val="004E7522"/>
    <w:rsid w:val="004E7789"/>
    <w:rsid w:val="004F1952"/>
    <w:rsid w:val="004F2BE9"/>
    <w:rsid w:val="004F2C2D"/>
    <w:rsid w:val="004F31D8"/>
    <w:rsid w:val="004F6283"/>
    <w:rsid w:val="004F66BB"/>
    <w:rsid w:val="00500DBE"/>
    <w:rsid w:val="00501215"/>
    <w:rsid w:val="005012A3"/>
    <w:rsid w:val="00501885"/>
    <w:rsid w:val="005019DE"/>
    <w:rsid w:val="00501F3C"/>
    <w:rsid w:val="00503181"/>
    <w:rsid w:val="005042A3"/>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4574"/>
    <w:rsid w:val="00515756"/>
    <w:rsid w:val="005157F0"/>
    <w:rsid w:val="00516DD8"/>
    <w:rsid w:val="0052012A"/>
    <w:rsid w:val="00520834"/>
    <w:rsid w:val="00520A46"/>
    <w:rsid w:val="005219C1"/>
    <w:rsid w:val="00521A09"/>
    <w:rsid w:val="00521A1B"/>
    <w:rsid w:val="00522539"/>
    <w:rsid w:val="00523442"/>
    <w:rsid w:val="00523B40"/>
    <w:rsid w:val="005253B8"/>
    <w:rsid w:val="005253DC"/>
    <w:rsid w:val="00525C4F"/>
    <w:rsid w:val="005265AD"/>
    <w:rsid w:val="00526CA9"/>
    <w:rsid w:val="00526E2F"/>
    <w:rsid w:val="0052731F"/>
    <w:rsid w:val="00531B34"/>
    <w:rsid w:val="00532089"/>
    <w:rsid w:val="0053357C"/>
    <w:rsid w:val="00533BA1"/>
    <w:rsid w:val="00534629"/>
    <w:rsid w:val="00537747"/>
    <w:rsid w:val="005404D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2788"/>
    <w:rsid w:val="00562ED9"/>
    <w:rsid w:val="00563D2E"/>
    <w:rsid w:val="005648E9"/>
    <w:rsid w:val="005657A1"/>
    <w:rsid w:val="00565E21"/>
    <w:rsid w:val="00567703"/>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87DE4"/>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211"/>
    <w:rsid w:val="005B2926"/>
    <w:rsid w:val="005B2C5A"/>
    <w:rsid w:val="005B70D3"/>
    <w:rsid w:val="005B7E4B"/>
    <w:rsid w:val="005C0E4A"/>
    <w:rsid w:val="005C16B2"/>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766"/>
    <w:rsid w:val="005F0A2B"/>
    <w:rsid w:val="005F15D5"/>
    <w:rsid w:val="005F1C42"/>
    <w:rsid w:val="005F41A8"/>
    <w:rsid w:val="005F4441"/>
    <w:rsid w:val="005F48B3"/>
    <w:rsid w:val="005F56D5"/>
    <w:rsid w:val="005F594F"/>
    <w:rsid w:val="005F64E0"/>
    <w:rsid w:val="005F7BD8"/>
    <w:rsid w:val="006008B5"/>
    <w:rsid w:val="00600C3E"/>
    <w:rsid w:val="00600D3C"/>
    <w:rsid w:val="006010A0"/>
    <w:rsid w:val="00601138"/>
    <w:rsid w:val="0060130F"/>
    <w:rsid w:val="006015B9"/>
    <w:rsid w:val="00601A87"/>
    <w:rsid w:val="006039F3"/>
    <w:rsid w:val="00606523"/>
    <w:rsid w:val="00606B89"/>
    <w:rsid w:val="006078DE"/>
    <w:rsid w:val="00610651"/>
    <w:rsid w:val="006109D4"/>
    <w:rsid w:val="00610AAD"/>
    <w:rsid w:val="00610F60"/>
    <w:rsid w:val="00611147"/>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2DC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392"/>
    <w:rsid w:val="00637EAA"/>
    <w:rsid w:val="006416E7"/>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57E16"/>
    <w:rsid w:val="006601AF"/>
    <w:rsid w:val="00660570"/>
    <w:rsid w:val="006612B7"/>
    <w:rsid w:val="00662000"/>
    <w:rsid w:val="00662242"/>
    <w:rsid w:val="006622A4"/>
    <w:rsid w:val="0066463A"/>
    <w:rsid w:val="00664C75"/>
    <w:rsid w:val="0066500B"/>
    <w:rsid w:val="00665565"/>
    <w:rsid w:val="00666694"/>
    <w:rsid w:val="00667680"/>
    <w:rsid w:val="00670A6A"/>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31ED"/>
    <w:rsid w:val="00694113"/>
    <w:rsid w:val="006943D0"/>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67"/>
    <w:rsid w:val="006A607A"/>
    <w:rsid w:val="006A6F7C"/>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588"/>
    <w:rsid w:val="006C6C19"/>
    <w:rsid w:val="006D1070"/>
    <w:rsid w:val="006D4620"/>
    <w:rsid w:val="006D5DC6"/>
    <w:rsid w:val="006D6580"/>
    <w:rsid w:val="006D746A"/>
    <w:rsid w:val="006D7657"/>
    <w:rsid w:val="006D792A"/>
    <w:rsid w:val="006E07FB"/>
    <w:rsid w:val="006E2101"/>
    <w:rsid w:val="006E555C"/>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273"/>
    <w:rsid w:val="007116D3"/>
    <w:rsid w:val="00711853"/>
    <w:rsid w:val="007119B1"/>
    <w:rsid w:val="00714189"/>
    <w:rsid w:val="007148BD"/>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37A34"/>
    <w:rsid w:val="007417C7"/>
    <w:rsid w:val="00742B80"/>
    <w:rsid w:val="00742CAB"/>
    <w:rsid w:val="007473CC"/>
    <w:rsid w:val="007479D9"/>
    <w:rsid w:val="00747F3F"/>
    <w:rsid w:val="00750E95"/>
    <w:rsid w:val="0075123D"/>
    <w:rsid w:val="007519A3"/>
    <w:rsid w:val="007527B7"/>
    <w:rsid w:val="00753A28"/>
    <w:rsid w:val="007543CD"/>
    <w:rsid w:val="00754AFF"/>
    <w:rsid w:val="007569DD"/>
    <w:rsid w:val="00756E5B"/>
    <w:rsid w:val="00756E82"/>
    <w:rsid w:val="00757653"/>
    <w:rsid w:val="007577F6"/>
    <w:rsid w:val="00757F5F"/>
    <w:rsid w:val="00761B28"/>
    <w:rsid w:val="007620A5"/>
    <w:rsid w:val="007623A5"/>
    <w:rsid w:val="00764646"/>
    <w:rsid w:val="0076550E"/>
    <w:rsid w:val="007657AE"/>
    <w:rsid w:val="00765831"/>
    <w:rsid w:val="00765DA4"/>
    <w:rsid w:val="007664C6"/>
    <w:rsid w:val="007673B4"/>
    <w:rsid w:val="00767F40"/>
    <w:rsid w:val="00770BB1"/>
    <w:rsid w:val="0077181A"/>
    <w:rsid w:val="00772060"/>
    <w:rsid w:val="00772A6F"/>
    <w:rsid w:val="00773BA0"/>
    <w:rsid w:val="00775444"/>
    <w:rsid w:val="00776719"/>
    <w:rsid w:val="007774AC"/>
    <w:rsid w:val="00780A37"/>
    <w:rsid w:val="00782726"/>
    <w:rsid w:val="00782C40"/>
    <w:rsid w:val="00782E7D"/>
    <w:rsid w:val="00784639"/>
    <w:rsid w:val="0078468E"/>
    <w:rsid w:val="007846CF"/>
    <w:rsid w:val="00786960"/>
    <w:rsid w:val="00786BA4"/>
    <w:rsid w:val="00790CB4"/>
    <w:rsid w:val="007917D2"/>
    <w:rsid w:val="007918C4"/>
    <w:rsid w:val="0079278A"/>
    <w:rsid w:val="00792D82"/>
    <w:rsid w:val="00792DD7"/>
    <w:rsid w:val="00793EEB"/>
    <w:rsid w:val="007948EB"/>
    <w:rsid w:val="00794AC4"/>
    <w:rsid w:val="00795286"/>
    <w:rsid w:val="00795D4A"/>
    <w:rsid w:val="0079649F"/>
    <w:rsid w:val="00796FF7"/>
    <w:rsid w:val="007A150C"/>
    <w:rsid w:val="007A1CB1"/>
    <w:rsid w:val="007A277A"/>
    <w:rsid w:val="007A2F14"/>
    <w:rsid w:val="007A44BE"/>
    <w:rsid w:val="007A4AC6"/>
    <w:rsid w:val="007A52F1"/>
    <w:rsid w:val="007A60D1"/>
    <w:rsid w:val="007A6BA6"/>
    <w:rsid w:val="007A7787"/>
    <w:rsid w:val="007A7854"/>
    <w:rsid w:val="007A7F0E"/>
    <w:rsid w:val="007B0951"/>
    <w:rsid w:val="007B0BD6"/>
    <w:rsid w:val="007B0F66"/>
    <w:rsid w:val="007B1B5C"/>
    <w:rsid w:val="007B21B7"/>
    <w:rsid w:val="007B452E"/>
    <w:rsid w:val="007B481B"/>
    <w:rsid w:val="007B540D"/>
    <w:rsid w:val="007B61D3"/>
    <w:rsid w:val="007B6412"/>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05"/>
    <w:rsid w:val="007E2367"/>
    <w:rsid w:val="007E2B86"/>
    <w:rsid w:val="007E3341"/>
    <w:rsid w:val="007E40C5"/>
    <w:rsid w:val="007E5237"/>
    <w:rsid w:val="007E6C97"/>
    <w:rsid w:val="007E755B"/>
    <w:rsid w:val="007F1505"/>
    <w:rsid w:val="007F1613"/>
    <w:rsid w:val="007F16B0"/>
    <w:rsid w:val="007F32EC"/>
    <w:rsid w:val="007F3B9B"/>
    <w:rsid w:val="007F40A7"/>
    <w:rsid w:val="007F5AFC"/>
    <w:rsid w:val="007F5B00"/>
    <w:rsid w:val="007F62A8"/>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6A05"/>
    <w:rsid w:val="00817415"/>
    <w:rsid w:val="0081781A"/>
    <w:rsid w:val="008202B8"/>
    <w:rsid w:val="00820EE4"/>
    <w:rsid w:val="0082179A"/>
    <w:rsid w:val="00821CA1"/>
    <w:rsid w:val="00823127"/>
    <w:rsid w:val="008234C6"/>
    <w:rsid w:val="00824750"/>
    <w:rsid w:val="008268E8"/>
    <w:rsid w:val="008277A3"/>
    <w:rsid w:val="00827ACF"/>
    <w:rsid w:val="00830CB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0EBB"/>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3FB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D6F19"/>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28A8"/>
    <w:rsid w:val="008F3029"/>
    <w:rsid w:val="008F360A"/>
    <w:rsid w:val="008F4168"/>
    <w:rsid w:val="008F6950"/>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8E5"/>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6DCF"/>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2897"/>
    <w:rsid w:val="00994D15"/>
    <w:rsid w:val="00994EC6"/>
    <w:rsid w:val="009A0FA5"/>
    <w:rsid w:val="009A26E7"/>
    <w:rsid w:val="009A2925"/>
    <w:rsid w:val="009A3E1B"/>
    <w:rsid w:val="009A4E52"/>
    <w:rsid w:val="009A74E8"/>
    <w:rsid w:val="009B1032"/>
    <w:rsid w:val="009B1C92"/>
    <w:rsid w:val="009B1F36"/>
    <w:rsid w:val="009B23FF"/>
    <w:rsid w:val="009B28EA"/>
    <w:rsid w:val="009B4BF0"/>
    <w:rsid w:val="009B4FEC"/>
    <w:rsid w:val="009B5D2A"/>
    <w:rsid w:val="009B61CF"/>
    <w:rsid w:val="009C0178"/>
    <w:rsid w:val="009C1E59"/>
    <w:rsid w:val="009C3DC6"/>
    <w:rsid w:val="009C4DFF"/>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3AF"/>
    <w:rsid w:val="009E79D6"/>
    <w:rsid w:val="009F1921"/>
    <w:rsid w:val="009F2674"/>
    <w:rsid w:val="009F2BBD"/>
    <w:rsid w:val="009F30DE"/>
    <w:rsid w:val="009F31DD"/>
    <w:rsid w:val="009F4B8E"/>
    <w:rsid w:val="009F66C3"/>
    <w:rsid w:val="009F7DE3"/>
    <w:rsid w:val="009F7F57"/>
    <w:rsid w:val="00A00BD7"/>
    <w:rsid w:val="00A01B39"/>
    <w:rsid w:val="00A02B19"/>
    <w:rsid w:val="00A04E61"/>
    <w:rsid w:val="00A07763"/>
    <w:rsid w:val="00A11E8C"/>
    <w:rsid w:val="00A13B8E"/>
    <w:rsid w:val="00A169EE"/>
    <w:rsid w:val="00A16CC1"/>
    <w:rsid w:val="00A20F2B"/>
    <w:rsid w:val="00A23A6F"/>
    <w:rsid w:val="00A23DAC"/>
    <w:rsid w:val="00A246AD"/>
    <w:rsid w:val="00A25880"/>
    <w:rsid w:val="00A260EE"/>
    <w:rsid w:val="00A2645E"/>
    <w:rsid w:val="00A275EB"/>
    <w:rsid w:val="00A27853"/>
    <w:rsid w:val="00A30344"/>
    <w:rsid w:val="00A30512"/>
    <w:rsid w:val="00A30B2E"/>
    <w:rsid w:val="00A30CAC"/>
    <w:rsid w:val="00A31260"/>
    <w:rsid w:val="00A32D61"/>
    <w:rsid w:val="00A33617"/>
    <w:rsid w:val="00A33C0C"/>
    <w:rsid w:val="00A34A6A"/>
    <w:rsid w:val="00A353E5"/>
    <w:rsid w:val="00A357C9"/>
    <w:rsid w:val="00A367B4"/>
    <w:rsid w:val="00A3682E"/>
    <w:rsid w:val="00A37101"/>
    <w:rsid w:val="00A372BF"/>
    <w:rsid w:val="00A3739A"/>
    <w:rsid w:val="00A37E8B"/>
    <w:rsid w:val="00A409D5"/>
    <w:rsid w:val="00A42E58"/>
    <w:rsid w:val="00A4358F"/>
    <w:rsid w:val="00A43D17"/>
    <w:rsid w:val="00A4478D"/>
    <w:rsid w:val="00A4515C"/>
    <w:rsid w:val="00A4545D"/>
    <w:rsid w:val="00A45483"/>
    <w:rsid w:val="00A46318"/>
    <w:rsid w:val="00A46E23"/>
    <w:rsid w:val="00A51837"/>
    <w:rsid w:val="00A51C65"/>
    <w:rsid w:val="00A52CC9"/>
    <w:rsid w:val="00A5360B"/>
    <w:rsid w:val="00A551F5"/>
    <w:rsid w:val="00A55560"/>
    <w:rsid w:val="00A56513"/>
    <w:rsid w:val="00A568B3"/>
    <w:rsid w:val="00A56D56"/>
    <w:rsid w:val="00A56F87"/>
    <w:rsid w:val="00A60310"/>
    <w:rsid w:val="00A60D54"/>
    <w:rsid w:val="00A618EB"/>
    <w:rsid w:val="00A63054"/>
    <w:rsid w:val="00A630B5"/>
    <w:rsid w:val="00A6365C"/>
    <w:rsid w:val="00A63C83"/>
    <w:rsid w:val="00A65034"/>
    <w:rsid w:val="00A65F41"/>
    <w:rsid w:val="00A65FFF"/>
    <w:rsid w:val="00A66D73"/>
    <w:rsid w:val="00A67427"/>
    <w:rsid w:val="00A72CED"/>
    <w:rsid w:val="00A72E49"/>
    <w:rsid w:val="00A735EC"/>
    <w:rsid w:val="00A73840"/>
    <w:rsid w:val="00A74225"/>
    <w:rsid w:val="00A7461E"/>
    <w:rsid w:val="00A75881"/>
    <w:rsid w:val="00A76EB9"/>
    <w:rsid w:val="00A774DB"/>
    <w:rsid w:val="00A779A9"/>
    <w:rsid w:val="00A80540"/>
    <w:rsid w:val="00A81E0C"/>
    <w:rsid w:val="00A8233A"/>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A7B32"/>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105"/>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21"/>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465A"/>
    <w:rsid w:val="00B252FA"/>
    <w:rsid w:val="00B25707"/>
    <w:rsid w:val="00B258F8"/>
    <w:rsid w:val="00B26262"/>
    <w:rsid w:val="00B26CC6"/>
    <w:rsid w:val="00B27058"/>
    <w:rsid w:val="00B27295"/>
    <w:rsid w:val="00B31BA7"/>
    <w:rsid w:val="00B343A8"/>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66A2B"/>
    <w:rsid w:val="00B71335"/>
    <w:rsid w:val="00B71D12"/>
    <w:rsid w:val="00B727D3"/>
    <w:rsid w:val="00B739E9"/>
    <w:rsid w:val="00B73FEA"/>
    <w:rsid w:val="00B741BD"/>
    <w:rsid w:val="00B74E29"/>
    <w:rsid w:val="00B777A6"/>
    <w:rsid w:val="00B77837"/>
    <w:rsid w:val="00B77BDE"/>
    <w:rsid w:val="00B81393"/>
    <w:rsid w:val="00B813E6"/>
    <w:rsid w:val="00B822C4"/>
    <w:rsid w:val="00B830D3"/>
    <w:rsid w:val="00B834DE"/>
    <w:rsid w:val="00B839C1"/>
    <w:rsid w:val="00B85E89"/>
    <w:rsid w:val="00B86F96"/>
    <w:rsid w:val="00B92753"/>
    <w:rsid w:val="00B9290D"/>
    <w:rsid w:val="00B93591"/>
    <w:rsid w:val="00B948A5"/>
    <w:rsid w:val="00B94DBE"/>
    <w:rsid w:val="00B97ADB"/>
    <w:rsid w:val="00BA0032"/>
    <w:rsid w:val="00BA1B67"/>
    <w:rsid w:val="00BA1DEC"/>
    <w:rsid w:val="00BA2544"/>
    <w:rsid w:val="00BA356C"/>
    <w:rsid w:val="00BA424C"/>
    <w:rsid w:val="00BA455E"/>
    <w:rsid w:val="00BA4A19"/>
    <w:rsid w:val="00BA530D"/>
    <w:rsid w:val="00BA6703"/>
    <w:rsid w:val="00BA6968"/>
    <w:rsid w:val="00BA71FB"/>
    <w:rsid w:val="00BA7565"/>
    <w:rsid w:val="00BA7619"/>
    <w:rsid w:val="00BA7A86"/>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5CE2"/>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16EFD"/>
    <w:rsid w:val="00C211F1"/>
    <w:rsid w:val="00C217FB"/>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379AC"/>
    <w:rsid w:val="00C4094C"/>
    <w:rsid w:val="00C4135A"/>
    <w:rsid w:val="00C413E9"/>
    <w:rsid w:val="00C43DD9"/>
    <w:rsid w:val="00C44381"/>
    <w:rsid w:val="00C44677"/>
    <w:rsid w:val="00C45452"/>
    <w:rsid w:val="00C45794"/>
    <w:rsid w:val="00C466B0"/>
    <w:rsid w:val="00C46FA0"/>
    <w:rsid w:val="00C475B5"/>
    <w:rsid w:val="00C50942"/>
    <w:rsid w:val="00C50E12"/>
    <w:rsid w:val="00C535DF"/>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75366"/>
    <w:rsid w:val="00C75C35"/>
    <w:rsid w:val="00C81215"/>
    <w:rsid w:val="00C84B5F"/>
    <w:rsid w:val="00C84BAA"/>
    <w:rsid w:val="00C853F3"/>
    <w:rsid w:val="00C85DA8"/>
    <w:rsid w:val="00C875C0"/>
    <w:rsid w:val="00C90573"/>
    <w:rsid w:val="00C90F00"/>
    <w:rsid w:val="00C916EA"/>
    <w:rsid w:val="00C919A8"/>
    <w:rsid w:val="00C92F5C"/>
    <w:rsid w:val="00C93A3A"/>
    <w:rsid w:val="00C9427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097D"/>
    <w:rsid w:val="00CB1DC2"/>
    <w:rsid w:val="00CB24AB"/>
    <w:rsid w:val="00CB2929"/>
    <w:rsid w:val="00CB31C3"/>
    <w:rsid w:val="00CB32EE"/>
    <w:rsid w:val="00CB34EF"/>
    <w:rsid w:val="00CB4426"/>
    <w:rsid w:val="00CB57B7"/>
    <w:rsid w:val="00CB5D1F"/>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48C"/>
    <w:rsid w:val="00D02EB3"/>
    <w:rsid w:val="00D03529"/>
    <w:rsid w:val="00D040A4"/>
    <w:rsid w:val="00D04E75"/>
    <w:rsid w:val="00D04FF5"/>
    <w:rsid w:val="00D05809"/>
    <w:rsid w:val="00D0653E"/>
    <w:rsid w:val="00D06621"/>
    <w:rsid w:val="00D07FCA"/>
    <w:rsid w:val="00D1070B"/>
    <w:rsid w:val="00D10AB5"/>
    <w:rsid w:val="00D10E26"/>
    <w:rsid w:val="00D12080"/>
    <w:rsid w:val="00D1267C"/>
    <w:rsid w:val="00D12692"/>
    <w:rsid w:val="00D139E9"/>
    <w:rsid w:val="00D14688"/>
    <w:rsid w:val="00D168D1"/>
    <w:rsid w:val="00D17515"/>
    <w:rsid w:val="00D17617"/>
    <w:rsid w:val="00D209DC"/>
    <w:rsid w:val="00D221C8"/>
    <w:rsid w:val="00D22BE2"/>
    <w:rsid w:val="00D22F99"/>
    <w:rsid w:val="00D237CB"/>
    <w:rsid w:val="00D245EA"/>
    <w:rsid w:val="00D251C0"/>
    <w:rsid w:val="00D26DD5"/>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5F9A"/>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3684"/>
    <w:rsid w:val="00D74E18"/>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CA4"/>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2A8"/>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45"/>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5BCC"/>
    <w:rsid w:val="00E36107"/>
    <w:rsid w:val="00E40A1A"/>
    <w:rsid w:val="00E41CCF"/>
    <w:rsid w:val="00E41E54"/>
    <w:rsid w:val="00E43343"/>
    <w:rsid w:val="00E44665"/>
    <w:rsid w:val="00E44BF7"/>
    <w:rsid w:val="00E44DAE"/>
    <w:rsid w:val="00E4510B"/>
    <w:rsid w:val="00E45EF4"/>
    <w:rsid w:val="00E504AB"/>
    <w:rsid w:val="00E50719"/>
    <w:rsid w:val="00E5115C"/>
    <w:rsid w:val="00E51C29"/>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142"/>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3D6"/>
    <w:rsid w:val="00EB4470"/>
    <w:rsid w:val="00EB4D16"/>
    <w:rsid w:val="00EB4EF9"/>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0AC"/>
    <w:rsid w:val="00ED134B"/>
    <w:rsid w:val="00ED19E8"/>
    <w:rsid w:val="00ED1C41"/>
    <w:rsid w:val="00ED4583"/>
    <w:rsid w:val="00ED5867"/>
    <w:rsid w:val="00ED626C"/>
    <w:rsid w:val="00ED686F"/>
    <w:rsid w:val="00EE1AAB"/>
    <w:rsid w:val="00EE3028"/>
    <w:rsid w:val="00EE37AA"/>
    <w:rsid w:val="00EE4C35"/>
    <w:rsid w:val="00EE4F36"/>
    <w:rsid w:val="00EE555B"/>
    <w:rsid w:val="00EE69FA"/>
    <w:rsid w:val="00EE7077"/>
    <w:rsid w:val="00EE7493"/>
    <w:rsid w:val="00EF034C"/>
    <w:rsid w:val="00EF0D18"/>
    <w:rsid w:val="00EF0EF5"/>
    <w:rsid w:val="00EF1710"/>
    <w:rsid w:val="00EF2766"/>
    <w:rsid w:val="00EF2851"/>
    <w:rsid w:val="00EF394C"/>
    <w:rsid w:val="00EF3FFC"/>
    <w:rsid w:val="00EF4283"/>
    <w:rsid w:val="00EF4667"/>
    <w:rsid w:val="00EF46AC"/>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763"/>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5786C"/>
    <w:rsid w:val="00F60945"/>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2D45"/>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A7070"/>
    <w:rsid w:val="00FB1ED0"/>
    <w:rsid w:val="00FB39B6"/>
    <w:rsid w:val="00FB455C"/>
    <w:rsid w:val="00FB510D"/>
    <w:rsid w:val="00FB7663"/>
    <w:rsid w:val="00FB7703"/>
    <w:rsid w:val="00FB7856"/>
    <w:rsid w:val="00FC07EC"/>
    <w:rsid w:val="00FC2431"/>
    <w:rsid w:val="00FC3457"/>
    <w:rsid w:val="00FC3FA2"/>
    <w:rsid w:val="00FC4C8F"/>
    <w:rsid w:val="00FC51A3"/>
    <w:rsid w:val="00FC541C"/>
    <w:rsid w:val="00FC65FC"/>
    <w:rsid w:val="00FD1952"/>
    <w:rsid w:val="00FD23E7"/>
    <w:rsid w:val="00FD41F4"/>
    <w:rsid w:val="00FD619D"/>
    <w:rsid w:val="00FD6247"/>
    <w:rsid w:val="00FD6E53"/>
    <w:rsid w:val="00FD7624"/>
    <w:rsid w:val="00FE123D"/>
    <w:rsid w:val="00FE2B06"/>
    <w:rsid w:val="00FE3FB7"/>
    <w:rsid w:val="00FE426F"/>
    <w:rsid w:val="00FE46DC"/>
    <w:rsid w:val="00FE532E"/>
    <w:rsid w:val="00FE5649"/>
    <w:rsid w:val="00FE569F"/>
    <w:rsid w:val="00FE66F9"/>
    <w:rsid w:val="00FE6A3D"/>
    <w:rsid w:val="00FE6E6B"/>
    <w:rsid w:val="00FE704A"/>
    <w:rsid w:val="00FE7B3B"/>
    <w:rsid w:val="00FE7EDF"/>
    <w:rsid w:val="00FF0085"/>
    <w:rsid w:val="00FF0AFB"/>
    <w:rsid w:val="00FF2D5F"/>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 w:type="table" w:styleId="ListTable7Colorful">
    <w:name w:val="List Table 7 Colorful"/>
    <w:basedOn w:val="TableNormal"/>
    <w:uiPriority w:val="52"/>
    <w:rsid w:val="00C535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F1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witter.com/msdanimalheal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linkedin.com/showcase/msd-animal-health"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msd-animal-health.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chemeClr val="tx1"/>
                </a:solidFill>
                <a:latin typeface="Arial" panose="020B0604020202020204" pitchFamily="34" charset="0"/>
                <a:cs typeface="Arial" panose="020B0604020202020204" pitchFamily="34" charset="0"/>
              </a:rPr>
              <a:t>Total food and beverage dollar and unit sales at retail</a:t>
            </a:r>
          </a:p>
        </c:rich>
      </c:tx>
      <c:layout>
        <c:manualLayout>
          <c:xMode val="edge"/>
          <c:yMode val="edge"/>
          <c:x val="1.9178837720901756E-2"/>
          <c:y val="2.9077186247241482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1.0803887177888657E-2"/>
          <c:y val="0.26244995494966117"/>
          <c:w val="0.96789983075366204"/>
          <c:h val="0.62914717749833504"/>
        </c:manualLayout>
      </c:layout>
      <c:barChart>
        <c:barDir val="col"/>
        <c:grouping val="clustered"/>
        <c:varyColors val="0"/>
        <c:ser>
          <c:idx val="0"/>
          <c:order val="0"/>
          <c:tx>
            <c:strRef>
              <c:f>Sheet1!$B$1</c:f>
              <c:strCache>
                <c:ptCount val="1"/>
                <c:pt idx="0">
                  <c:v>Dollars vs. YA</c:v>
                </c:pt>
              </c:strCache>
            </c:strRef>
          </c:tx>
          <c:spPr>
            <a:solidFill>
              <a:schemeClr val="tx2">
                <a:lumMod val="75000"/>
              </a:schemeClr>
            </a:solidFill>
            <a:ln>
              <a:noFill/>
            </a:ln>
            <a:effectLst/>
          </c:spPr>
          <c:invertIfNegative val="0"/>
          <c:dPt>
            <c:idx val="0"/>
            <c:invertIfNegative val="0"/>
            <c:bubble3D val="0"/>
            <c:spPr>
              <a:solidFill>
                <a:schemeClr val="tx2">
                  <a:lumMod val="75000"/>
                </a:schemeClr>
              </a:solidFill>
              <a:ln>
                <a:noFill/>
              </a:ln>
              <a:effectLst/>
            </c:spPr>
            <c:extLst>
              <c:ext xmlns:c16="http://schemas.microsoft.com/office/drawing/2014/chart" uri="{C3380CC4-5D6E-409C-BE32-E72D297353CC}">
                <c16:uniqueId val="{00000001-2B51-4F6B-8613-CAF79F00B911}"/>
              </c:ext>
            </c:extLst>
          </c:dPt>
          <c:dPt>
            <c:idx val="1"/>
            <c:invertIfNegative val="0"/>
            <c:bubble3D val="0"/>
            <c:spPr>
              <a:solidFill>
                <a:schemeClr val="tx2">
                  <a:lumMod val="75000"/>
                </a:schemeClr>
              </a:solidFill>
              <a:ln>
                <a:noFill/>
              </a:ln>
              <a:effectLst/>
            </c:spPr>
            <c:extLst>
              <c:ext xmlns:c16="http://schemas.microsoft.com/office/drawing/2014/chart" uri="{C3380CC4-5D6E-409C-BE32-E72D297353CC}">
                <c16:uniqueId val="{00000003-2B51-4F6B-8613-CAF79F00B911}"/>
              </c:ext>
            </c:extLst>
          </c:dPt>
          <c:dPt>
            <c:idx val="3"/>
            <c:invertIfNegative val="0"/>
            <c:bubble3D val="0"/>
            <c:spPr>
              <a:solidFill>
                <a:schemeClr val="tx2">
                  <a:lumMod val="75000"/>
                </a:schemeClr>
              </a:solidFill>
              <a:ln>
                <a:noFill/>
              </a:ln>
              <a:effectLst/>
            </c:spPr>
            <c:extLst>
              <c:ext xmlns:c16="http://schemas.microsoft.com/office/drawing/2014/chart" uri="{C3380CC4-5D6E-409C-BE32-E72D297353CC}">
                <c16:uniqueId val="{00000005-2B51-4F6B-8613-CAF79F00B911}"/>
              </c:ext>
            </c:extLst>
          </c:dPt>
          <c:dPt>
            <c:idx val="4"/>
            <c:invertIfNegative val="0"/>
            <c:bubble3D val="0"/>
            <c:spPr>
              <a:solidFill>
                <a:schemeClr val="tx2">
                  <a:lumMod val="75000"/>
                </a:schemeClr>
              </a:solidFill>
              <a:ln>
                <a:noFill/>
              </a:ln>
              <a:effectLst/>
            </c:spPr>
            <c:extLst>
              <c:ext xmlns:c16="http://schemas.microsoft.com/office/drawing/2014/chart" uri="{C3380CC4-5D6E-409C-BE32-E72D297353CC}">
                <c16:uniqueId val="{00000007-2B51-4F6B-8613-CAF79F00B911}"/>
              </c:ext>
            </c:extLst>
          </c:dPt>
          <c:dPt>
            <c:idx val="5"/>
            <c:invertIfNegative val="0"/>
            <c:bubble3D val="0"/>
            <c:spPr>
              <a:solidFill>
                <a:schemeClr val="tx2">
                  <a:lumMod val="75000"/>
                </a:schemeClr>
              </a:solidFill>
              <a:ln>
                <a:noFill/>
              </a:ln>
              <a:effectLst/>
            </c:spPr>
            <c:extLst>
              <c:ext xmlns:c16="http://schemas.microsoft.com/office/drawing/2014/chart" uri="{C3380CC4-5D6E-409C-BE32-E72D297353CC}">
                <c16:uniqueId val="{00000009-2B51-4F6B-8613-CAF79F00B911}"/>
              </c:ext>
            </c:extLst>
          </c:dPt>
          <c:dPt>
            <c:idx val="6"/>
            <c:invertIfNegative val="0"/>
            <c:bubble3D val="0"/>
            <c:spPr>
              <a:solidFill>
                <a:schemeClr val="tx2">
                  <a:lumMod val="75000"/>
                </a:schemeClr>
              </a:solidFill>
              <a:ln>
                <a:noFill/>
              </a:ln>
              <a:effectLst/>
            </c:spPr>
            <c:extLst>
              <c:ext xmlns:c16="http://schemas.microsoft.com/office/drawing/2014/chart" uri="{C3380CC4-5D6E-409C-BE32-E72D297353CC}">
                <c16:uniqueId val="{0000000B-2B51-4F6B-8613-CAF79F00B911}"/>
              </c:ext>
            </c:extLst>
          </c:dPt>
          <c:dLbls>
            <c:dLbl>
              <c:idx val="3"/>
              <c:layout>
                <c:manualLayout>
                  <c:x val="-2.5763235862424319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51-4F6B-8613-CAF79F00B911}"/>
                </c:ext>
              </c:extLst>
            </c:dLbl>
            <c:dLbl>
              <c:idx val="5"/>
              <c:layout>
                <c:manualLayout>
                  <c:x val="8.4601217432153295E-4"/>
                  <c:y val="1.32669983416252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51-4F6B-8613-CAF79F00B911}"/>
                </c:ext>
              </c:extLst>
            </c:dLbl>
            <c:dLbl>
              <c:idx val="6"/>
              <c:layout>
                <c:manualLayout>
                  <c:x val="2.7878449958182324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51-4F6B-8613-CAF79F00B91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Jan '26</c:v>
                </c:pt>
                <c:pt idx="3">
                  <c:v>w.e. 02-08-26</c:v>
                </c:pt>
                <c:pt idx="4">
                  <c:v>w.e. 02-15-26</c:v>
                </c:pt>
                <c:pt idx="5">
                  <c:v>w.e. 02-22-26</c:v>
                </c:pt>
                <c:pt idx="6">
                  <c:v>w.e. 03-01-26</c:v>
                </c:pt>
              </c:strCache>
            </c:strRef>
          </c:cat>
          <c:val>
            <c:numRef>
              <c:f>Sheet1!$B$2:$B$8</c:f>
              <c:numCache>
                <c:formatCode>0.0%</c:formatCode>
                <c:ptCount val="7"/>
                <c:pt idx="0">
                  <c:v>3.4000000000000002E-2</c:v>
                </c:pt>
                <c:pt idx="1">
                  <c:v>2.4E-2</c:v>
                </c:pt>
                <c:pt idx="2">
                  <c:v>3.1E-2</c:v>
                </c:pt>
                <c:pt idx="3">
                  <c:v>-7.0000000000000001E-3</c:v>
                </c:pt>
                <c:pt idx="4">
                  <c:v>5.0000000000000001E-3</c:v>
                </c:pt>
                <c:pt idx="5">
                  <c:v>3.2000000000000001E-2</c:v>
                </c:pt>
                <c:pt idx="6">
                  <c:v>1.4E-2</c:v>
                </c:pt>
              </c:numCache>
            </c:numRef>
          </c:val>
          <c:extLst>
            <c:ext xmlns:c16="http://schemas.microsoft.com/office/drawing/2014/chart" uri="{C3380CC4-5D6E-409C-BE32-E72D297353CC}">
              <c16:uniqueId val="{0000000C-2B51-4F6B-8613-CAF79F00B911}"/>
            </c:ext>
          </c:extLst>
        </c:ser>
        <c:ser>
          <c:idx val="1"/>
          <c:order val="1"/>
          <c:tx>
            <c:strRef>
              <c:f>Sheet1!$C$1</c:f>
              <c:strCache>
                <c:ptCount val="1"/>
                <c:pt idx="0">
                  <c:v>Units vs. YA</c:v>
                </c:pt>
              </c:strCache>
            </c:strRef>
          </c:tx>
          <c:spPr>
            <a:solidFill>
              <a:schemeClr val="tx1">
                <a:lumMod val="50000"/>
                <a:lumOff val="50000"/>
              </a:schemeClr>
            </a:solidFill>
            <a:ln>
              <a:noFill/>
            </a:ln>
            <a:effectLst/>
          </c:spPr>
          <c:invertIfNegative val="0"/>
          <c:dLbls>
            <c:dLbl>
              <c:idx val="0"/>
              <c:layout>
                <c:manualLayout>
                  <c:x val="1.052077853761178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B51-4F6B-8613-CAF79F00B911}"/>
                </c:ext>
              </c:extLst>
            </c:dLbl>
            <c:dLbl>
              <c:idx val="1"/>
              <c:layout>
                <c:manualLayout>
                  <c:x val="5.6737588652481753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B51-4F6B-8613-CAF79F00B911}"/>
                </c:ext>
              </c:extLst>
            </c:dLbl>
            <c:dLbl>
              <c:idx val="2"/>
              <c:layout>
                <c:manualLayout>
                  <c:x val="0"/>
                  <c:y val="1.32680429871639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B51-4F6B-8613-CAF79F00B911}"/>
                </c:ext>
              </c:extLst>
            </c:dLbl>
            <c:dLbl>
              <c:idx val="3"/>
              <c:layout>
                <c:manualLayout>
                  <c:x val="5.6737948333554786E-3"/>
                  <c:y val="6.63454381635131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B51-4F6B-8613-CAF79F00B911}"/>
                </c:ext>
              </c:extLst>
            </c:dLbl>
            <c:dLbl>
              <c:idx val="4"/>
              <c:layout>
                <c:manualLayout>
                  <c:x val="1.6239561578697971E-2"/>
                  <c:y val="5.2232276935532309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B51-4F6B-8613-CAF79F00B911}"/>
                </c:ext>
              </c:extLst>
            </c:dLbl>
            <c:dLbl>
              <c:idx val="5"/>
              <c:layout>
                <c:manualLayout>
                  <c:x val="1.2881617931212255E-2"/>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B51-4F6B-8613-CAF79F00B911}"/>
                </c:ext>
              </c:extLst>
            </c:dLbl>
            <c:dLbl>
              <c:idx val="6"/>
              <c:layout>
                <c:manualLayout>
                  <c:x val="8.51063829787234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B51-4F6B-8613-CAF79F00B91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Jan '26</c:v>
                </c:pt>
                <c:pt idx="3">
                  <c:v>w.e. 02-08-26</c:v>
                </c:pt>
                <c:pt idx="4">
                  <c:v>w.e. 02-15-26</c:v>
                </c:pt>
                <c:pt idx="5">
                  <c:v>w.e. 02-22-26</c:v>
                </c:pt>
                <c:pt idx="6">
                  <c:v>w.e. 03-01-26</c:v>
                </c:pt>
              </c:strCache>
            </c:strRef>
          </c:cat>
          <c:val>
            <c:numRef>
              <c:f>Sheet1!$C$2:$C$8</c:f>
              <c:numCache>
                <c:formatCode>0.0%</c:formatCode>
                <c:ptCount val="7"/>
                <c:pt idx="0">
                  <c:v>6.0000000000000001E-3</c:v>
                </c:pt>
                <c:pt idx="1">
                  <c:v>5.0000000000000001E-3</c:v>
                </c:pt>
                <c:pt idx="2">
                  <c:v>1.2999999999999999E-2</c:v>
                </c:pt>
                <c:pt idx="3">
                  <c:v>-2.8000000000000001E-2</c:v>
                </c:pt>
                <c:pt idx="4">
                  <c:v>-1.7999999999999999E-2</c:v>
                </c:pt>
                <c:pt idx="5">
                  <c:v>8.9999999999999993E-3</c:v>
                </c:pt>
                <c:pt idx="6">
                  <c:v>2E-3</c:v>
                </c:pt>
              </c:numCache>
            </c:numRef>
          </c:val>
          <c:extLst>
            <c:ext xmlns:c16="http://schemas.microsoft.com/office/drawing/2014/chart" uri="{C3380CC4-5D6E-409C-BE32-E72D297353CC}">
              <c16:uniqueId val="{00000014-2B51-4F6B-8613-CAF79F00B911}"/>
            </c:ext>
          </c:extLst>
        </c:ser>
        <c:dLbls>
          <c:dLblPos val="outEnd"/>
          <c:showLegendKey val="0"/>
          <c:showVal val="1"/>
          <c:showCatName val="0"/>
          <c:showSerName val="0"/>
          <c:showPercent val="0"/>
          <c:showBubbleSize val="0"/>
        </c:dLbls>
        <c:gapWidth val="219"/>
        <c:overlap val="-27"/>
        <c:axId val="1572581904"/>
        <c:axId val="1572585744"/>
      </c:barChart>
      <c:catAx>
        <c:axId val="15725819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nl-NL"/>
          </a:p>
        </c:txPr>
        <c:crossAx val="1572585744"/>
        <c:crosses val="autoZero"/>
        <c:auto val="1"/>
        <c:lblAlgn val="ctr"/>
        <c:lblOffset val="100"/>
        <c:noMultiLvlLbl val="0"/>
      </c:catAx>
      <c:valAx>
        <c:axId val="15725857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72581904"/>
        <c:crosses val="autoZero"/>
        <c:crossBetween val="between"/>
      </c:valAx>
      <c:spPr>
        <a:noFill/>
        <a:ln>
          <a:noFill/>
        </a:ln>
        <a:effectLst/>
      </c:spPr>
    </c:plotArea>
    <c:legend>
      <c:legendPos val="b"/>
      <c:layout>
        <c:manualLayout>
          <c:xMode val="edge"/>
          <c:yMode val="edge"/>
          <c:x val="0.66001813196824055"/>
          <c:y val="1.6221255925098921E-2"/>
          <c:w val="0.33580013495925115"/>
          <c:h val="0.1193009410409064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5.8343220796030631E-2"/>
          <c:y val="0.11920627226089252"/>
          <c:w val="0.92072831649468478"/>
          <c:h val="0.73366024754393222"/>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7"/>
              <c:layout>
                <c:manualLayout>
                  <c:x val="-3.8532191181581826E-2"/>
                  <c:y val="5.6227622129596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41-4768-BA34-C3C0E650E3A8}"/>
                </c:ext>
              </c:extLst>
            </c:dLbl>
            <c:dLbl>
              <c:idx val="8"/>
              <c:layout>
                <c:manualLayout>
                  <c:x val="-3.6629603662555882E-2"/>
                  <c:y val="6.5735585048541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41-4768-BA34-C3C0E650E3A8}"/>
                </c:ext>
              </c:extLst>
            </c:dLbl>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3.8517060367454066E-2"/>
                  <c:y val="-4.14704401550471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4.438459335677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2398069248193294E-2"/>
                  <c:y val="-5.0339423046328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2.4498136363091599E-2"/>
                  <c:y val="-4.5265015749903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2.0677381080789699E-2"/>
                  <c:y val="-3.9773979999588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Feb 26</c:v>
                </c:pt>
              </c:strCache>
            </c:strRef>
          </c:cat>
          <c:val>
            <c:numRef>
              <c:f>Sheet1!$B$2:$B$17</c:f>
              <c:numCache>
                <c:formatCode>0.0%</c:formatCode>
                <c:ptCount val="16"/>
                <c:pt idx="0">
                  <c:v>0.2048200166972387</c:v>
                </c:pt>
                <c:pt idx="1">
                  <c:v>9.8277108965361945E-2</c:v>
                </c:pt>
                <c:pt idx="2">
                  <c:v>-3.5999999999999997E-2</c:v>
                </c:pt>
                <c:pt idx="3">
                  <c:v>4.5887546751452145E-2</c:v>
                </c:pt>
                <c:pt idx="4">
                  <c:v>4.0676270782707222E-3</c:v>
                </c:pt>
                <c:pt idx="5">
                  <c:v>-9.0413468779247368E-3</c:v>
                </c:pt>
                <c:pt idx="6">
                  <c:v>-2.9790484393234711E-2</c:v>
                </c:pt>
                <c:pt idx="7">
                  <c:v>-4.4999999999999998E-2</c:v>
                </c:pt>
                <c:pt idx="8">
                  <c:v>-1.4999999999999999E-2</c:v>
                </c:pt>
                <c:pt idx="9">
                  <c:v>4.0000000000000001E-3</c:v>
                </c:pt>
                <c:pt idx="10">
                  <c:v>2.3E-2</c:v>
                </c:pt>
                <c:pt idx="11">
                  <c:v>2.5000000000000001E-2</c:v>
                </c:pt>
                <c:pt idx="12">
                  <c:v>5.0999999999999997E-2</c:v>
                </c:pt>
                <c:pt idx="13">
                  <c:v>0.05</c:v>
                </c:pt>
                <c:pt idx="14">
                  <c:v>4.8000000000000001E-2</c:v>
                </c:pt>
                <c:pt idx="15">
                  <c:v>0.09</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8"/>
              <c:layout>
                <c:manualLayout>
                  <c:x val="-4.0434778700607563E-2"/>
                  <c:y val="-3.721169629170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41-4768-BA34-C3C0E650E3A8}"/>
                </c:ext>
              </c:extLst>
            </c:dLbl>
            <c:dLbl>
              <c:idx val="9"/>
              <c:layout>
                <c:manualLayout>
                  <c:x val="-3.7585691343376526E-2"/>
                  <c:y val="-0.1037674367243196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0-4CC4-868D-A3D1C951EFEF}"/>
                </c:ext>
              </c:extLst>
            </c:dLbl>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238620429295667E-2"/>
                  <c:y val="3.571512795509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2.478771917208979E-2"/>
                  <c:y val="3.3998079690953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2.4498136363091599E-2"/>
                  <c:y val="3.2827552130026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0677381080789557E-2"/>
                  <c:y val="7.66603841741079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Feb 26</c:v>
                </c:pt>
              </c:strCache>
            </c:strRef>
          </c:cat>
          <c:val>
            <c:numRef>
              <c:f>Sheet1!$C$2:$C$17</c:f>
              <c:numCache>
                <c:formatCode>0.0%</c:formatCode>
                <c:ptCount val="16"/>
                <c:pt idx="0">
                  <c:v>0.21612143755047789</c:v>
                </c:pt>
                <c:pt idx="1">
                  <c:v>2.9661600528784558E-2</c:v>
                </c:pt>
                <c:pt idx="2">
                  <c:v>-7.6999999999999999E-2</c:v>
                </c:pt>
                <c:pt idx="3">
                  <c:v>-2.2463091503221268E-2</c:v>
                </c:pt>
                <c:pt idx="4">
                  <c:v>-1.8811345521405086E-2</c:v>
                </c:pt>
                <c:pt idx="5">
                  <c:v>-1.5225006700881137E-2</c:v>
                </c:pt>
                <c:pt idx="6">
                  <c:v>-4.255941365231905E-2</c:v>
                </c:pt>
                <c:pt idx="7">
                  <c:v>-2.5000000000000001E-2</c:v>
                </c:pt>
                <c:pt idx="8">
                  <c:v>-2E-3</c:v>
                </c:pt>
                <c:pt idx="9">
                  <c:v>4.0000000000000001E-3</c:v>
                </c:pt>
                <c:pt idx="10">
                  <c:v>2.4E-2</c:v>
                </c:pt>
                <c:pt idx="11">
                  <c:v>2.4E-2</c:v>
                </c:pt>
                <c:pt idx="12">
                  <c:v>6.8000000000000005E-2</c:v>
                </c:pt>
                <c:pt idx="13">
                  <c:v>4.2999999999999997E-2</c:v>
                </c:pt>
                <c:pt idx="14">
                  <c:v>2.5999999999999999E-2</c:v>
                </c:pt>
                <c:pt idx="15">
                  <c:v>7.9000000000000001E-2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6.6645088609526282E-3"/>
          <c:y val="4.480163220832594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2528405507240548"/>
          <c:w val="0.88336798413790596"/>
          <c:h val="0.81423282735118985"/>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8.2315942752476223E-2"/>
                  <c:y val="-2.7131441400101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3.3402388053953007E-2"/>
                  <c:y val="0.104380526847889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076E-2"/>
                  <c:y val="7.2012417068716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4.845271257657556E-2"/>
                  <c:y val="2.818082264908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3151198730202937E-2"/>
                  <c:y val="4.26429050675607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3654362483214802E-2"/>
                  <c:y val="-8.63176407569440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5.652069785681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9982164772908231E-2"/>
                  <c:y val="-4.47895661521530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9982164772908231E-2"/>
                  <c:y val="-6.5695288205064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3190557698959441E-2"/>
                  <c:y val="-7.4349941223681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4198136929808003E-2"/>
                  <c:y val="5.14101746104582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Feb 26</c:v>
                </c:pt>
              </c:strCache>
            </c:strRef>
          </c:cat>
          <c:val>
            <c:numRef>
              <c:f>Sheet1!$B$2:$B$17</c:f>
              <c:numCache>
                <c:formatCode>0.0%</c:formatCode>
                <c:ptCount val="16"/>
                <c:pt idx="0">
                  <c:v>0.43878525962161319</c:v>
                </c:pt>
                <c:pt idx="1">
                  <c:v>2.0446607749305748E-2</c:v>
                </c:pt>
                <c:pt idx="2">
                  <c:v>-0.156</c:v>
                </c:pt>
                <c:pt idx="3">
                  <c:v>1.5292022796500984E-2</c:v>
                </c:pt>
                <c:pt idx="4">
                  <c:v>-1.0536879344479753E-2</c:v>
                </c:pt>
                <c:pt idx="5">
                  <c:v>-8.046566298416695E-2</c:v>
                </c:pt>
                <c:pt idx="6">
                  <c:v>-0.10197981766643789</c:v>
                </c:pt>
                <c:pt idx="7">
                  <c:v>-0.10299999999999999</c:v>
                </c:pt>
                <c:pt idx="8">
                  <c:v>-9.4E-2</c:v>
                </c:pt>
                <c:pt idx="9">
                  <c:v>-0.03</c:v>
                </c:pt>
                <c:pt idx="10">
                  <c:v>-6.6000000000000003E-2</c:v>
                </c:pt>
                <c:pt idx="11">
                  <c:v>-3.6999999999999998E-2</c:v>
                </c:pt>
                <c:pt idx="12">
                  <c:v>-2.5000000000000001E-2</c:v>
                </c:pt>
                <c:pt idx="13">
                  <c:v>-4.5999999999999999E-2</c:v>
                </c:pt>
                <c:pt idx="14">
                  <c:v>-5.8999999999999997E-2</c:v>
                </c:pt>
                <c:pt idx="15">
                  <c:v>0.09</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2"/>
              <c:layout>
                <c:manualLayout>
                  <c:x val="-4.2808840880592156E-2"/>
                  <c:y val="7.9742371418803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9-43B0-97BA-9EDBA99CBDEA}"/>
                </c:ext>
              </c:extLst>
            </c:dLbl>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3.8100874207580487E-2"/>
                  <c:y val="-5.3300889048957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3.5283678619280862E-2"/>
                  <c:y val="-7.65189062302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9.316860119673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6615987859010005E-2"/>
                  <c:y val="6.640426041474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4.10425072533451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18E-2"/>
                  <c:y val="5.1280373097082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3.7164969184608813E-2"/>
                  <c:y val="4.6915385866991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3190557698959441E-2"/>
                  <c:y val="4.25386982187941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1937223600474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Feb 26</c:v>
                </c:pt>
              </c:strCache>
            </c:strRef>
          </c:cat>
          <c:val>
            <c:numRef>
              <c:f>Sheet1!$C$2:$C$17</c:f>
              <c:numCache>
                <c:formatCode>0.0%</c:formatCode>
                <c:ptCount val="16"/>
                <c:pt idx="0">
                  <c:v>0.38838021911923787</c:v>
                </c:pt>
                <c:pt idx="1">
                  <c:v>-4.2613655037908447E-2</c:v>
                </c:pt>
                <c:pt idx="2">
                  <c:v>-0.112</c:v>
                </c:pt>
                <c:pt idx="3">
                  <c:v>0.11363120529620017</c:v>
                </c:pt>
                <c:pt idx="4">
                  <c:v>7.9793243820720741E-2</c:v>
                </c:pt>
                <c:pt idx="5">
                  <c:v>-2.4441282541258274E-3</c:v>
                </c:pt>
                <c:pt idx="6">
                  <c:v>1.5053952111881978E-2</c:v>
                </c:pt>
                <c:pt idx="7">
                  <c:v>-7.0000000000000007E-2</c:v>
                </c:pt>
                <c:pt idx="8">
                  <c:v>-7.5999999999999998E-2</c:v>
                </c:pt>
                <c:pt idx="9">
                  <c:v>-1.4E-2</c:v>
                </c:pt>
                <c:pt idx="10">
                  <c:v>-0.10100000000000001</c:v>
                </c:pt>
                <c:pt idx="11">
                  <c:v>-8.5000000000000006E-2</c:v>
                </c:pt>
                <c:pt idx="12">
                  <c:v>-7.8E-2</c:v>
                </c:pt>
                <c:pt idx="13">
                  <c:v>-9.2999999999999999E-2</c:v>
                </c:pt>
                <c:pt idx="14">
                  <c:v>-8.1000000000000003E-2</c:v>
                </c:pt>
                <c:pt idx="15">
                  <c:v>0.122</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15A43-DF54-446D-92E0-CA657601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2167</Words>
  <Characters>12352</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3</cp:revision>
  <dcterms:created xsi:type="dcterms:W3CDTF">2026-03-13T15:31:00Z</dcterms:created>
  <dcterms:modified xsi:type="dcterms:W3CDTF">2026-03-13T19:48:00Z</dcterms:modified>
</cp:coreProperties>
</file>