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9EEA" w14:textId="77777777" w:rsidR="001544DD" w:rsidRDefault="001544DD" w:rsidP="00B617AE">
      <w:pPr>
        <w:pStyle w:val="Heading1"/>
        <w:spacing w:before="0"/>
        <w:rPr>
          <w:rFonts w:ascii="Arial" w:hAnsi="Arial" w:cs="Arial"/>
          <w:color w:val="0F243E" w:themeColor="text2" w:themeShade="80"/>
          <w:sz w:val="32"/>
          <w:szCs w:val="32"/>
        </w:rPr>
      </w:pPr>
    </w:p>
    <w:p w14:paraId="0D126E4D" w14:textId="40FAE43D" w:rsidR="00F2712D" w:rsidRPr="000A7977" w:rsidRDefault="009B7D54" w:rsidP="00EB2266">
      <w:pPr>
        <w:pStyle w:val="Heading1"/>
        <w:spacing w:before="0"/>
        <w:rPr>
          <w:rFonts w:ascii="Arial" w:hAnsi="Arial" w:cs="Arial"/>
          <w:color w:val="00857C"/>
          <w:sz w:val="20"/>
          <w:szCs w:val="20"/>
        </w:rPr>
      </w:pPr>
      <w:r>
        <w:rPr>
          <w:rFonts w:ascii="Arial" w:hAnsi="Arial" w:cs="Arial"/>
          <w:color w:val="0F243E" w:themeColor="text2" w:themeShade="80"/>
          <w:sz w:val="30"/>
          <w:szCs w:val="30"/>
        </w:rPr>
        <w:t>Easter Calendar Shift Dampens April Seafood Sales</w:t>
      </w:r>
      <w:r>
        <w:rPr>
          <w:rFonts w:ascii="Arial" w:hAnsi="Arial" w:cs="Arial"/>
          <w:color w:val="0F243E" w:themeColor="text2" w:themeShade="80"/>
          <w:sz w:val="30"/>
          <w:szCs w:val="30"/>
        </w:rPr>
        <w:br/>
      </w:r>
      <w:r w:rsidR="00F2712D"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00F2712D" w:rsidRPr="000A7977">
        <w:rPr>
          <w:rFonts w:ascii="Arial" w:hAnsi="Arial" w:cs="Arial"/>
          <w:color w:val="00857C"/>
          <w:sz w:val="20"/>
          <w:szCs w:val="20"/>
        </w:rPr>
        <w:t xml:space="preserve">210 Analytics </w:t>
      </w:r>
    </w:p>
    <w:p w14:paraId="7EF01A31" w14:textId="77777777" w:rsidR="004A26DF" w:rsidRPr="007A7F0E" w:rsidRDefault="004A26DF" w:rsidP="00680C52">
      <w:pPr>
        <w:pStyle w:val="NoSpacing"/>
        <w:rPr>
          <w:rFonts w:ascii="Arial" w:hAnsi="Arial" w:cs="Arial"/>
          <w:sz w:val="18"/>
          <w:szCs w:val="18"/>
        </w:rPr>
      </w:pPr>
    </w:p>
    <w:p w14:paraId="4FAA18EF" w14:textId="24FB1FBD" w:rsidR="003B2ECF" w:rsidRPr="003B2ECF" w:rsidRDefault="003F4653"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Pr>
          <w:rFonts w:ascii="Arial" w:hAnsi="Arial" w:cs="Arial"/>
          <w:b/>
          <w:bCs/>
          <w:color w:val="00857C"/>
          <w:sz w:val="24"/>
          <w:szCs w:val="24"/>
        </w:rPr>
        <w:t>April</w:t>
      </w:r>
      <w:r w:rsidR="00F34BCF">
        <w:rPr>
          <w:rFonts w:ascii="Arial" w:hAnsi="Arial" w:cs="Arial"/>
          <w:b/>
          <w:bCs/>
          <w:color w:val="00857C"/>
          <w:sz w:val="24"/>
          <w:szCs w:val="24"/>
        </w:rPr>
        <w:t xml:space="preserve"> </w:t>
      </w:r>
      <w:r w:rsidR="00CD7E54">
        <w:rPr>
          <w:rFonts w:ascii="Arial" w:hAnsi="Arial" w:cs="Arial"/>
          <w:b/>
          <w:bCs/>
          <w:color w:val="00857C"/>
          <w:sz w:val="24"/>
          <w:szCs w:val="24"/>
        </w:rPr>
        <w:t xml:space="preserve">in </w:t>
      </w:r>
      <w:r w:rsidR="003B2ECF" w:rsidRPr="00A357C9">
        <w:rPr>
          <w:rFonts w:ascii="Arial" w:hAnsi="Arial" w:cs="Arial"/>
          <w:b/>
          <w:bCs/>
          <w:color w:val="00857C"/>
          <w:sz w:val="24"/>
          <w:szCs w:val="24"/>
        </w:rPr>
        <w:t>Review</w:t>
      </w:r>
    </w:p>
    <w:bookmarkEnd w:id="0"/>
    <w:bookmarkEnd w:id="1"/>
    <w:bookmarkEnd w:id="2"/>
    <w:bookmarkEnd w:id="3"/>
    <w:p w14:paraId="2E7279C0" w14:textId="77777777" w:rsidR="003F4653" w:rsidRDefault="003F4653" w:rsidP="003F4653">
      <w:pPr>
        <w:pStyle w:val="NoSpacing"/>
        <w:numPr>
          <w:ilvl w:val="0"/>
          <w:numId w:val="30"/>
        </w:numPr>
        <w:rPr>
          <w:rFonts w:ascii="Arial" w:hAnsi="Arial" w:cs="Arial"/>
          <w:sz w:val="20"/>
          <w:szCs w:val="20"/>
        </w:rPr>
      </w:pPr>
      <w:r>
        <w:rPr>
          <w:rFonts w:ascii="Arial" w:hAnsi="Arial" w:cs="Arial"/>
          <w:sz w:val="20"/>
          <w:szCs w:val="20"/>
        </w:rPr>
        <w:t>Consumer sentiment declined by 3.5 index points in March/April 2026, according to the University of Michigan. At 49.8, sentiment is now comparable to the trough recorded in June 2022. Declines were seen across income, age and education levels.</w:t>
      </w:r>
    </w:p>
    <w:p w14:paraId="78B5829A" w14:textId="77777777" w:rsidR="003F4653" w:rsidRDefault="003F4653" w:rsidP="003F4653">
      <w:pPr>
        <w:pStyle w:val="NoSpacing"/>
        <w:numPr>
          <w:ilvl w:val="0"/>
          <w:numId w:val="30"/>
        </w:numPr>
        <w:rPr>
          <w:rFonts w:ascii="Arial" w:hAnsi="Arial" w:cs="Arial"/>
          <w:sz w:val="20"/>
          <w:szCs w:val="20"/>
        </w:rPr>
      </w:pPr>
      <w:r>
        <w:rPr>
          <w:rFonts w:ascii="Arial" w:hAnsi="Arial" w:cs="Arial"/>
          <w:sz w:val="20"/>
          <w:szCs w:val="20"/>
        </w:rPr>
        <w:t>Ongoing geopolitical tensions have pushed up energy, shipping/transportation and fertilizer costs, with fuel volatility affecting all links of the supply chain. Gas prices climbed to an average of $4.13 per gallon by late April, up from $2.98 in February. Higher fuel costs could impact the elevated level of grocery trips seen in recent years.</w:t>
      </w:r>
    </w:p>
    <w:p w14:paraId="02BEA9A1" w14:textId="63B37E59" w:rsidR="003F4653" w:rsidRPr="00050880" w:rsidRDefault="003F4653" w:rsidP="00DA37F4">
      <w:pPr>
        <w:pStyle w:val="NoSpacing"/>
        <w:numPr>
          <w:ilvl w:val="0"/>
          <w:numId w:val="30"/>
        </w:numPr>
        <w:rPr>
          <w:rFonts w:ascii="Arial" w:hAnsi="Arial" w:cs="Arial"/>
          <w:sz w:val="20"/>
          <w:szCs w:val="20"/>
        </w:rPr>
      </w:pPr>
      <w:r w:rsidRPr="00050880">
        <w:rPr>
          <w:rFonts w:ascii="Arial" w:hAnsi="Arial" w:cs="Arial"/>
          <w:sz w:val="20"/>
          <w:szCs w:val="20"/>
        </w:rPr>
        <w:t>Labor market conditions remain relatively tight. The latest BLS data showed 7.2 million job seekers versus 6.9 million available openings.</w:t>
      </w:r>
      <w:r w:rsidR="00050880" w:rsidRPr="00050880">
        <w:rPr>
          <w:rFonts w:ascii="Arial" w:hAnsi="Arial" w:cs="Arial"/>
          <w:sz w:val="20"/>
          <w:szCs w:val="20"/>
        </w:rPr>
        <w:t xml:space="preserve"> </w:t>
      </w:r>
      <w:r w:rsidRPr="00050880">
        <w:rPr>
          <w:rFonts w:ascii="Arial" w:hAnsi="Arial" w:cs="Arial"/>
          <w:sz w:val="20"/>
          <w:szCs w:val="20"/>
        </w:rPr>
        <w:t>On a more positive note, year-to-date tax refunds continue to pace ahead of year-ago levels, up 11%, according to the IRS.</w:t>
      </w:r>
    </w:p>
    <w:p w14:paraId="131A7A5E" w14:textId="77777777" w:rsidR="00050880" w:rsidRDefault="003F4653" w:rsidP="00050880">
      <w:pPr>
        <w:pStyle w:val="NoSpacing"/>
        <w:numPr>
          <w:ilvl w:val="0"/>
          <w:numId w:val="30"/>
        </w:numPr>
        <w:rPr>
          <w:rFonts w:ascii="Arial" w:hAnsi="Arial" w:cs="Arial"/>
          <w:sz w:val="20"/>
          <w:szCs w:val="20"/>
        </w:rPr>
      </w:pPr>
      <w:r>
        <w:rPr>
          <w:rFonts w:ascii="Arial" w:hAnsi="Arial" w:cs="Arial"/>
          <w:sz w:val="20"/>
          <w:szCs w:val="20"/>
        </w:rPr>
        <w:t>Demonstrating resilience amid rising costs, total food and beverage spending at retail during the first four months of 2026 increased 2% versus the same period last year, according to Circana (MULO+ universe). However, unit sales were unchanged, suggesting consumers continue to protect essential purchases while focusing on buying only what they need.</w:t>
      </w:r>
      <w:r w:rsidR="00050880">
        <w:rPr>
          <w:rFonts w:ascii="Arial" w:hAnsi="Arial" w:cs="Arial"/>
          <w:sz w:val="20"/>
          <w:szCs w:val="20"/>
        </w:rPr>
        <w:t xml:space="preserve"> Restaurant trips declined by 1% in April, according to Circana.</w:t>
      </w:r>
    </w:p>
    <w:p w14:paraId="72F14FA8" w14:textId="53761ADB" w:rsidR="003F4653" w:rsidRDefault="003F4653" w:rsidP="003F4653">
      <w:pPr>
        <w:pStyle w:val="NoSpacing"/>
        <w:numPr>
          <w:ilvl w:val="0"/>
          <w:numId w:val="30"/>
        </w:numPr>
        <w:rPr>
          <w:rFonts w:ascii="Arial" w:hAnsi="Arial" w:cs="Arial"/>
          <w:sz w:val="20"/>
          <w:szCs w:val="20"/>
        </w:rPr>
      </w:pPr>
      <w:r>
        <w:rPr>
          <w:rFonts w:ascii="Arial" w:hAnsi="Arial" w:cs="Arial"/>
          <w:sz w:val="20"/>
          <w:szCs w:val="20"/>
        </w:rPr>
        <w:t>Perishables outperformed center store departments in unit</w:t>
      </w:r>
      <w:r w:rsidR="00A4259F">
        <w:rPr>
          <w:rFonts w:ascii="Arial" w:hAnsi="Arial" w:cs="Arial"/>
          <w:sz w:val="20"/>
          <w:szCs w:val="20"/>
        </w:rPr>
        <w:t xml:space="preserve"> </w:t>
      </w:r>
      <w:r>
        <w:rPr>
          <w:rFonts w:ascii="Arial" w:hAnsi="Arial" w:cs="Arial"/>
          <w:sz w:val="20"/>
          <w:szCs w:val="20"/>
        </w:rPr>
        <w:t>s</w:t>
      </w:r>
      <w:r w:rsidR="00A4259F">
        <w:rPr>
          <w:rFonts w:ascii="Arial" w:hAnsi="Arial" w:cs="Arial"/>
          <w:sz w:val="20"/>
          <w:szCs w:val="20"/>
        </w:rPr>
        <w:t>ales</w:t>
      </w:r>
      <w:r>
        <w:rPr>
          <w:rFonts w:ascii="Arial" w:hAnsi="Arial" w:cs="Arial"/>
          <w:sz w:val="20"/>
          <w:szCs w:val="20"/>
        </w:rPr>
        <w:t>. Combined fresh departments increased unit sales by 0.5%, while center store department unit sales declined by 0.3%.</w:t>
      </w:r>
    </w:p>
    <w:p w14:paraId="2E89DBAA" w14:textId="24974818" w:rsidR="003F4653" w:rsidRDefault="003F4653" w:rsidP="003F4653">
      <w:pPr>
        <w:pStyle w:val="NoSpacing"/>
        <w:numPr>
          <w:ilvl w:val="0"/>
          <w:numId w:val="30"/>
        </w:numPr>
        <w:rPr>
          <w:rFonts w:ascii="Arial" w:hAnsi="Arial" w:cs="Arial"/>
          <w:sz w:val="20"/>
          <w:szCs w:val="20"/>
        </w:rPr>
      </w:pPr>
      <w:r>
        <w:rPr>
          <w:noProof/>
          <w:lang w:val="nl-NL" w:eastAsia="nl-NL"/>
        </w:rPr>
        <w:drawing>
          <wp:anchor distT="0" distB="0" distL="114300" distR="114300" simplePos="0" relativeHeight="251694080" behindDoc="1" locked="0" layoutInCell="1" allowOverlap="1" wp14:anchorId="658CF1CD" wp14:editId="7E284D8D">
            <wp:simplePos x="0" y="0"/>
            <wp:positionH relativeFrom="margin">
              <wp:posOffset>-26035</wp:posOffset>
            </wp:positionH>
            <wp:positionV relativeFrom="paragraph">
              <wp:posOffset>678180</wp:posOffset>
            </wp:positionV>
            <wp:extent cx="6675120" cy="1657350"/>
            <wp:effectExtent l="0" t="0" r="11430" b="0"/>
            <wp:wrapTopAndBottom/>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rFonts w:ascii="Arial" w:hAnsi="Arial" w:cs="Arial"/>
          <w:sz w:val="20"/>
          <w:szCs w:val="20"/>
        </w:rPr>
        <w:t>Monthly averages mask substantial week-to-week volatility resulting from the shift in Easter timing. The earlier Easter drove strong dollar and unit gains for the week ending April 5, whereas the two weeks aligned with last year’s holiday timing experienced substantial declines. As a result, the final week of April is likely the better reflection of underlying everyday demand.</w:t>
      </w:r>
    </w:p>
    <w:p w14:paraId="79BCD781" w14:textId="08352AC9" w:rsidR="003F4653" w:rsidRDefault="003F4653" w:rsidP="003F4653">
      <w:pPr>
        <w:pStyle w:val="NoSpacing"/>
        <w:rPr>
          <w:rFonts w:ascii="Arial" w:hAnsi="Arial" w:cs="Arial"/>
          <w:sz w:val="20"/>
          <w:szCs w:val="20"/>
        </w:rPr>
      </w:pPr>
    </w:p>
    <w:p w14:paraId="5CA46C65" w14:textId="7E0FA2AE" w:rsidR="003F4653" w:rsidRDefault="003F4653" w:rsidP="003F4653">
      <w:pPr>
        <w:pStyle w:val="NoSpacing"/>
        <w:rPr>
          <w:rFonts w:ascii="Arial" w:hAnsi="Arial" w:cs="Arial"/>
          <w:sz w:val="20"/>
          <w:szCs w:val="20"/>
        </w:rPr>
      </w:pPr>
    </w:p>
    <w:p w14:paraId="2ADF3456" w14:textId="77777777" w:rsidR="003F4653" w:rsidRDefault="003F4653" w:rsidP="003F4653">
      <w:pPr>
        <w:pStyle w:val="NoSpacing"/>
        <w:rPr>
          <w:rFonts w:ascii="Arial" w:hAnsi="Arial" w:cs="Arial"/>
          <w:b/>
          <w:color w:val="595959" w:themeColor="text1" w:themeTint="A6"/>
          <w:sz w:val="24"/>
          <w:szCs w:val="24"/>
        </w:rPr>
      </w:pPr>
      <w:bookmarkStart w:id="4" w:name="_Hlk226887324"/>
      <w:r>
        <w:rPr>
          <w:rFonts w:ascii="Arial" w:hAnsi="Arial" w:cs="Arial"/>
          <w:b/>
          <w:color w:val="595959" w:themeColor="text1" w:themeTint="A6"/>
          <w:sz w:val="24"/>
          <w:szCs w:val="24"/>
        </w:rPr>
        <w:t>Inflation Insights</w:t>
      </w:r>
    </w:p>
    <w:p w14:paraId="4FE79252" w14:textId="10CAE22F" w:rsidR="003F4653" w:rsidRDefault="003F4653" w:rsidP="003F4653">
      <w:pPr>
        <w:pStyle w:val="NoSpacing"/>
        <w:rPr>
          <w:rFonts w:ascii="Arial" w:hAnsi="Arial" w:cs="Arial"/>
          <w:sz w:val="20"/>
          <w:szCs w:val="20"/>
        </w:rPr>
      </w:pPr>
      <w:bookmarkStart w:id="5" w:name="_Hlk226882613"/>
      <w:r>
        <w:rPr>
          <w:rFonts w:ascii="Arial" w:hAnsi="Arial" w:cs="Arial"/>
          <w:sz w:val="20"/>
          <w:szCs w:val="20"/>
        </w:rPr>
        <w:t>Retail food and beverage price growth remained mild at 2.0% year-over-year in April 2026 (four weeks ending 4/26/2026). However, this</w:t>
      </w:r>
      <w:r w:rsidR="00787CFD">
        <w:rPr>
          <w:rFonts w:ascii="Arial" w:hAnsi="Arial" w:cs="Arial"/>
          <w:sz w:val="20"/>
          <w:szCs w:val="20"/>
        </w:rPr>
        <w:t xml:space="preserve"> was up from 1.5% in March and the</w:t>
      </w:r>
      <w:r>
        <w:rPr>
          <w:rFonts w:ascii="Arial" w:hAnsi="Arial" w:cs="Arial"/>
          <w:sz w:val="20"/>
          <w:szCs w:val="20"/>
        </w:rPr>
        <w:t xml:space="preserve"> overall increase masked a growing divergence: center-store items continued to see meaningful inflation, while perishable departments experienced slight deflation.</w:t>
      </w:r>
    </w:p>
    <w:p w14:paraId="01E52DC8" w14:textId="77777777" w:rsidR="003F4653" w:rsidRDefault="003F4653" w:rsidP="003F4653">
      <w:pPr>
        <w:pStyle w:val="NoSpacing"/>
        <w:numPr>
          <w:ilvl w:val="0"/>
          <w:numId w:val="31"/>
        </w:numPr>
        <w:rPr>
          <w:rFonts w:ascii="Arial" w:hAnsi="Arial" w:cs="Arial"/>
          <w:sz w:val="20"/>
          <w:szCs w:val="20"/>
        </w:rPr>
      </w:pPr>
      <w:r>
        <w:rPr>
          <w:rFonts w:ascii="Arial" w:hAnsi="Arial" w:cs="Arial"/>
          <w:sz w:val="20"/>
          <w:szCs w:val="20"/>
        </w:rPr>
        <w:t xml:space="preserve">Center-store prices averaged $4.09 per unit, up 4.3% year-over-year. </w:t>
      </w:r>
    </w:p>
    <w:p w14:paraId="501A0AE7" w14:textId="77777777" w:rsidR="003F4653" w:rsidRDefault="003F4653" w:rsidP="003F4653">
      <w:pPr>
        <w:pStyle w:val="NoSpacing"/>
        <w:numPr>
          <w:ilvl w:val="0"/>
          <w:numId w:val="31"/>
        </w:numPr>
        <w:rPr>
          <w:rFonts w:ascii="Arial" w:hAnsi="Arial" w:cs="Arial"/>
          <w:sz w:val="20"/>
          <w:szCs w:val="20"/>
        </w:rPr>
      </w:pPr>
      <w:r>
        <w:rPr>
          <w:rFonts w:ascii="Arial" w:hAnsi="Arial" w:cs="Arial"/>
          <w:sz w:val="20"/>
          <w:szCs w:val="20"/>
        </w:rPr>
        <w:t>Perishable prices averaged $4.37 per unit, down 0.3% versus April 2025.</w:t>
      </w:r>
    </w:p>
    <w:bookmarkEnd w:id="5"/>
    <w:p w14:paraId="12211112" w14:textId="77777777" w:rsidR="003F4653" w:rsidRDefault="003F4653" w:rsidP="003F4653">
      <w:pPr>
        <w:pStyle w:val="NoSpacing"/>
        <w:rPr>
          <w:rFonts w:ascii="Arial" w:hAnsi="Arial" w:cs="Arial"/>
          <w:sz w:val="20"/>
          <w:szCs w:val="20"/>
        </w:rPr>
      </w:pPr>
    </w:p>
    <w:tbl>
      <w:tblPr>
        <w:tblStyle w:val="GridTable4"/>
        <w:tblW w:w="10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739"/>
        <w:gridCol w:w="777"/>
        <w:gridCol w:w="739"/>
        <w:gridCol w:w="855"/>
        <w:gridCol w:w="739"/>
        <w:gridCol w:w="739"/>
        <w:gridCol w:w="739"/>
        <w:gridCol w:w="739"/>
        <w:gridCol w:w="739"/>
        <w:gridCol w:w="732"/>
        <w:gridCol w:w="742"/>
        <w:gridCol w:w="742"/>
      </w:tblGrid>
      <w:tr w:rsidR="003F4653" w14:paraId="57EAFDB2" w14:textId="77777777" w:rsidTr="003F4653">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137" w:type="dxa"/>
            <w:shd w:val="clear" w:color="auto" w:fill="17365D"/>
            <w:hideMark/>
          </w:tcPr>
          <w:bookmarkEnd w:id="4"/>
          <w:p w14:paraId="19989F28" w14:textId="77777777" w:rsidR="003F4653" w:rsidRDefault="003F4653">
            <w:pPr>
              <w:pStyle w:val="NoSpacing"/>
              <w:rPr>
                <w:rFonts w:ascii="Arial" w:hAnsi="Arial" w:cs="Arial"/>
                <w:sz w:val="18"/>
              </w:rPr>
            </w:pPr>
            <w:r>
              <w:rPr>
                <w:rFonts w:ascii="Arial" w:hAnsi="Arial" w:cs="Arial"/>
                <w:sz w:val="18"/>
              </w:rPr>
              <w:t>Food &amp; beverages</w:t>
            </w:r>
          </w:p>
        </w:tc>
        <w:tc>
          <w:tcPr>
            <w:tcW w:w="739" w:type="dxa"/>
            <w:shd w:val="clear" w:color="auto" w:fill="17365D"/>
            <w:vAlign w:val="center"/>
            <w:hideMark/>
          </w:tcPr>
          <w:p w14:paraId="0F1E7D2D" w14:textId="77777777" w:rsidR="003F4653" w:rsidRDefault="003F465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2019</w:t>
            </w:r>
          </w:p>
        </w:tc>
        <w:tc>
          <w:tcPr>
            <w:tcW w:w="777" w:type="dxa"/>
            <w:shd w:val="clear" w:color="auto" w:fill="17365D"/>
            <w:vAlign w:val="center"/>
            <w:hideMark/>
          </w:tcPr>
          <w:p w14:paraId="1FB4F14E" w14:textId="77777777" w:rsidR="003F4653" w:rsidRDefault="003F465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2020</w:t>
            </w:r>
          </w:p>
        </w:tc>
        <w:tc>
          <w:tcPr>
            <w:tcW w:w="739" w:type="dxa"/>
            <w:shd w:val="clear" w:color="auto" w:fill="17365D"/>
            <w:vAlign w:val="center"/>
            <w:hideMark/>
          </w:tcPr>
          <w:p w14:paraId="7B99FB86" w14:textId="77777777" w:rsidR="003F4653" w:rsidRDefault="003F465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2021</w:t>
            </w:r>
          </w:p>
        </w:tc>
        <w:tc>
          <w:tcPr>
            <w:tcW w:w="855" w:type="dxa"/>
            <w:shd w:val="clear" w:color="auto" w:fill="17365D"/>
            <w:vAlign w:val="center"/>
            <w:hideMark/>
          </w:tcPr>
          <w:p w14:paraId="5D533ABD" w14:textId="77777777" w:rsidR="003F4653" w:rsidRDefault="003F465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2022</w:t>
            </w:r>
          </w:p>
        </w:tc>
        <w:tc>
          <w:tcPr>
            <w:tcW w:w="739" w:type="dxa"/>
            <w:shd w:val="clear" w:color="auto" w:fill="17365D"/>
            <w:vAlign w:val="center"/>
            <w:hideMark/>
          </w:tcPr>
          <w:p w14:paraId="5D0156A0" w14:textId="77777777" w:rsidR="003F4653" w:rsidRDefault="003F465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2023</w:t>
            </w:r>
          </w:p>
        </w:tc>
        <w:tc>
          <w:tcPr>
            <w:tcW w:w="739" w:type="dxa"/>
            <w:shd w:val="clear" w:color="auto" w:fill="17365D"/>
            <w:vAlign w:val="center"/>
            <w:hideMark/>
          </w:tcPr>
          <w:p w14:paraId="17651C88" w14:textId="77777777" w:rsidR="003F4653" w:rsidRDefault="003F465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2024</w:t>
            </w:r>
          </w:p>
        </w:tc>
        <w:tc>
          <w:tcPr>
            <w:tcW w:w="739" w:type="dxa"/>
            <w:shd w:val="clear" w:color="auto" w:fill="17365D"/>
            <w:vAlign w:val="center"/>
            <w:hideMark/>
          </w:tcPr>
          <w:p w14:paraId="1D04502B" w14:textId="77777777" w:rsidR="003F4653" w:rsidRDefault="003F465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2025</w:t>
            </w:r>
          </w:p>
        </w:tc>
        <w:tc>
          <w:tcPr>
            <w:tcW w:w="739" w:type="dxa"/>
            <w:shd w:val="clear" w:color="auto" w:fill="17365D"/>
            <w:hideMark/>
          </w:tcPr>
          <w:p w14:paraId="49845564" w14:textId="77777777" w:rsidR="003F4653" w:rsidRDefault="003F465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Q2 2025</w:t>
            </w:r>
          </w:p>
        </w:tc>
        <w:tc>
          <w:tcPr>
            <w:tcW w:w="739" w:type="dxa"/>
            <w:shd w:val="clear" w:color="auto" w:fill="17365D"/>
            <w:hideMark/>
          </w:tcPr>
          <w:p w14:paraId="74CCBA03" w14:textId="77777777" w:rsidR="003F4653" w:rsidRDefault="003F465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Q3 2025</w:t>
            </w:r>
          </w:p>
        </w:tc>
        <w:tc>
          <w:tcPr>
            <w:tcW w:w="732" w:type="dxa"/>
            <w:shd w:val="clear" w:color="auto" w:fill="17365D"/>
            <w:hideMark/>
          </w:tcPr>
          <w:p w14:paraId="6D08F960" w14:textId="77777777" w:rsidR="003F4653" w:rsidRDefault="003F465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Q4 2025</w:t>
            </w:r>
          </w:p>
        </w:tc>
        <w:tc>
          <w:tcPr>
            <w:tcW w:w="742" w:type="dxa"/>
            <w:shd w:val="clear" w:color="auto" w:fill="17365D"/>
            <w:hideMark/>
          </w:tcPr>
          <w:p w14:paraId="0C53D47C" w14:textId="77777777" w:rsidR="003F4653" w:rsidRDefault="003F465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Q1 2026</w:t>
            </w:r>
          </w:p>
        </w:tc>
        <w:tc>
          <w:tcPr>
            <w:tcW w:w="742" w:type="dxa"/>
            <w:shd w:val="clear" w:color="auto" w:fill="17365D"/>
            <w:vAlign w:val="center"/>
            <w:hideMark/>
          </w:tcPr>
          <w:p w14:paraId="070B4F39" w14:textId="77777777" w:rsidR="003F4653" w:rsidRDefault="003F4653">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Apr.</w:t>
            </w:r>
            <w:r>
              <w:rPr>
                <w:rFonts w:ascii="Arial" w:hAnsi="Arial" w:cs="Arial"/>
                <w:sz w:val="18"/>
              </w:rPr>
              <w:br/>
              <w:t>2026</w:t>
            </w:r>
          </w:p>
        </w:tc>
      </w:tr>
      <w:tr w:rsidR="003F4653" w14:paraId="0E25D4BD" w14:textId="77777777" w:rsidTr="003F465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7" w:type="dxa"/>
            <w:hideMark/>
          </w:tcPr>
          <w:p w14:paraId="6D137425" w14:textId="77777777" w:rsidR="003F4653" w:rsidRDefault="003F4653">
            <w:pPr>
              <w:pStyle w:val="NoSpacing"/>
              <w:rPr>
                <w:rFonts w:ascii="Arial" w:hAnsi="Arial" w:cs="Arial"/>
                <w:b w:val="0"/>
                <w:bCs w:val="0"/>
                <w:sz w:val="18"/>
              </w:rPr>
            </w:pPr>
            <w:r>
              <w:rPr>
                <w:rFonts w:ascii="Arial" w:hAnsi="Arial" w:cs="Arial"/>
                <w:b w:val="0"/>
                <w:bCs w:val="0"/>
                <w:sz w:val="18"/>
              </w:rPr>
              <w:t>PPU</w:t>
            </w:r>
          </w:p>
        </w:tc>
        <w:tc>
          <w:tcPr>
            <w:tcW w:w="739" w:type="dxa"/>
            <w:vAlign w:val="center"/>
            <w:hideMark/>
          </w:tcPr>
          <w:p w14:paraId="1E5BB185" w14:textId="77777777" w:rsidR="003F4653" w:rsidRDefault="003F465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$3.13</w:t>
            </w:r>
          </w:p>
        </w:tc>
        <w:tc>
          <w:tcPr>
            <w:tcW w:w="777" w:type="dxa"/>
            <w:vAlign w:val="center"/>
            <w:hideMark/>
          </w:tcPr>
          <w:p w14:paraId="3EB5FB61" w14:textId="77777777" w:rsidR="003F4653" w:rsidRDefault="003F465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$3.31</w:t>
            </w:r>
          </w:p>
        </w:tc>
        <w:tc>
          <w:tcPr>
            <w:tcW w:w="739" w:type="dxa"/>
            <w:vAlign w:val="center"/>
            <w:hideMark/>
          </w:tcPr>
          <w:p w14:paraId="66799DB0" w14:textId="77777777" w:rsidR="003F4653" w:rsidRDefault="003F465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$3.49</w:t>
            </w:r>
          </w:p>
        </w:tc>
        <w:tc>
          <w:tcPr>
            <w:tcW w:w="855" w:type="dxa"/>
            <w:vAlign w:val="center"/>
            <w:hideMark/>
          </w:tcPr>
          <w:p w14:paraId="62A366E4" w14:textId="77777777" w:rsidR="003F4653" w:rsidRDefault="003F465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$3.93</w:t>
            </w:r>
          </w:p>
        </w:tc>
        <w:tc>
          <w:tcPr>
            <w:tcW w:w="739" w:type="dxa"/>
            <w:vAlign w:val="center"/>
            <w:hideMark/>
          </w:tcPr>
          <w:p w14:paraId="31AF1FA2" w14:textId="77777777" w:rsidR="003F4653" w:rsidRDefault="003F465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$4.17</w:t>
            </w:r>
          </w:p>
        </w:tc>
        <w:tc>
          <w:tcPr>
            <w:tcW w:w="739" w:type="dxa"/>
            <w:vAlign w:val="center"/>
            <w:hideMark/>
          </w:tcPr>
          <w:p w14:paraId="265D456C" w14:textId="77777777" w:rsidR="003F4653" w:rsidRDefault="003F465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$4.24</w:t>
            </w:r>
          </w:p>
        </w:tc>
        <w:tc>
          <w:tcPr>
            <w:tcW w:w="739" w:type="dxa"/>
            <w:hideMark/>
          </w:tcPr>
          <w:p w14:paraId="633D0338" w14:textId="77777777" w:rsidR="003F4653" w:rsidRDefault="003F465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$4.29</w:t>
            </w:r>
          </w:p>
        </w:tc>
        <w:tc>
          <w:tcPr>
            <w:tcW w:w="739" w:type="dxa"/>
            <w:hideMark/>
          </w:tcPr>
          <w:p w14:paraId="36B16405" w14:textId="77777777" w:rsidR="003F4653" w:rsidRDefault="003F465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$4.30</w:t>
            </w:r>
          </w:p>
        </w:tc>
        <w:tc>
          <w:tcPr>
            <w:tcW w:w="739" w:type="dxa"/>
            <w:vAlign w:val="center"/>
            <w:hideMark/>
          </w:tcPr>
          <w:p w14:paraId="4E56E424" w14:textId="77777777" w:rsidR="003F4653" w:rsidRDefault="003F465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$4.31</w:t>
            </w:r>
          </w:p>
        </w:tc>
        <w:tc>
          <w:tcPr>
            <w:tcW w:w="732" w:type="dxa"/>
            <w:vAlign w:val="center"/>
            <w:hideMark/>
          </w:tcPr>
          <w:p w14:paraId="767B0820" w14:textId="77777777" w:rsidR="003F4653" w:rsidRDefault="003F465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$4.32</w:t>
            </w:r>
          </w:p>
        </w:tc>
        <w:tc>
          <w:tcPr>
            <w:tcW w:w="742" w:type="dxa"/>
            <w:vAlign w:val="center"/>
            <w:hideMark/>
          </w:tcPr>
          <w:p w14:paraId="68F3A5AA" w14:textId="77777777" w:rsidR="003F4653" w:rsidRDefault="003F465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$4.32</w:t>
            </w:r>
          </w:p>
        </w:tc>
        <w:tc>
          <w:tcPr>
            <w:tcW w:w="742" w:type="dxa"/>
            <w:vAlign w:val="center"/>
            <w:hideMark/>
          </w:tcPr>
          <w:p w14:paraId="66275647" w14:textId="77777777" w:rsidR="003F4653" w:rsidRDefault="003F465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$4.34</w:t>
            </w:r>
          </w:p>
        </w:tc>
      </w:tr>
      <w:tr w:rsidR="003F4653" w14:paraId="3DA5C32D" w14:textId="77777777" w:rsidTr="003F4653">
        <w:trPr>
          <w:trHeight w:val="226"/>
        </w:trPr>
        <w:tc>
          <w:tcPr>
            <w:cnfStyle w:val="001000000000" w:firstRow="0" w:lastRow="0" w:firstColumn="1" w:lastColumn="0" w:oddVBand="0" w:evenVBand="0" w:oddHBand="0" w:evenHBand="0" w:firstRowFirstColumn="0" w:firstRowLastColumn="0" w:lastRowFirstColumn="0" w:lastRowLastColumn="0"/>
            <w:tcW w:w="1137" w:type="dxa"/>
            <w:hideMark/>
          </w:tcPr>
          <w:p w14:paraId="5C5EFC33" w14:textId="77777777" w:rsidR="003F4653" w:rsidRDefault="003F4653">
            <w:pPr>
              <w:pStyle w:val="NoSpacing"/>
              <w:rPr>
                <w:rFonts w:ascii="Arial" w:hAnsi="Arial" w:cs="Arial"/>
                <w:b w:val="0"/>
                <w:bCs w:val="0"/>
                <w:sz w:val="18"/>
              </w:rPr>
            </w:pPr>
            <w:r>
              <w:rPr>
                <w:rFonts w:ascii="Arial" w:hAnsi="Arial" w:cs="Arial"/>
                <w:b w:val="0"/>
                <w:bCs w:val="0"/>
                <w:sz w:val="18"/>
              </w:rPr>
              <w:t xml:space="preserve">Change </w:t>
            </w:r>
          </w:p>
        </w:tc>
        <w:tc>
          <w:tcPr>
            <w:tcW w:w="739" w:type="dxa"/>
            <w:vAlign w:val="center"/>
            <w:hideMark/>
          </w:tcPr>
          <w:p w14:paraId="42FE0A71" w14:textId="77777777" w:rsidR="003F4653" w:rsidRDefault="003F465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w:t>
            </w:r>
          </w:p>
        </w:tc>
        <w:tc>
          <w:tcPr>
            <w:tcW w:w="777" w:type="dxa"/>
            <w:vAlign w:val="center"/>
            <w:hideMark/>
          </w:tcPr>
          <w:p w14:paraId="26E369B1" w14:textId="77777777" w:rsidR="003F4653" w:rsidRDefault="003F465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+5.7%</w:t>
            </w:r>
          </w:p>
        </w:tc>
        <w:tc>
          <w:tcPr>
            <w:tcW w:w="739" w:type="dxa"/>
            <w:vAlign w:val="center"/>
            <w:hideMark/>
          </w:tcPr>
          <w:p w14:paraId="7D5A8091" w14:textId="77777777" w:rsidR="003F4653" w:rsidRDefault="003F465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+5.5%</w:t>
            </w:r>
          </w:p>
        </w:tc>
        <w:tc>
          <w:tcPr>
            <w:tcW w:w="855" w:type="dxa"/>
            <w:vAlign w:val="center"/>
            <w:hideMark/>
          </w:tcPr>
          <w:p w14:paraId="14032FA4" w14:textId="77777777" w:rsidR="003F4653" w:rsidRDefault="003F465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+12.5%</w:t>
            </w:r>
          </w:p>
        </w:tc>
        <w:tc>
          <w:tcPr>
            <w:tcW w:w="739" w:type="dxa"/>
            <w:vAlign w:val="center"/>
            <w:hideMark/>
          </w:tcPr>
          <w:p w14:paraId="59476EE2" w14:textId="77777777" w:rsidR="003F4653" w:rsidRDefault="003F465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+6.1%</w:t>
            </w:r>
          </w:p>
        </w:tc>
        <w:tc>
          <w:tcPr>
            <w:tcW w:w="739" w:type="dxa"/>
            <w:vAlign w:val="center"/>
            <w:hideMark/>
          </w:tcPr>
          <w:p w14:paraId="2475B8CF" w14:textId="77777777" w:rsidR="003F4653" w:rsidRDefault="003F465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+1.7%</w:t>
            </w:r>
          </w:p>
        </w:tc>
        <w:tc>
          <w:tcPr>
            <w:tcW w:w="739" w:type="dxa"/>
            <w:hideMark/>
          </w:tcPr>
          <w:p w14:paraId="533F9578" w14:textId="77777777" w:rsidR="003F4653" w:rsidRDefault="003F465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+2.6%</w:t>
            </w:r>
          </w:p>
        </w:tc>
        <w:tc>
          <w:tcPr>
            <w:tcW w:w="739" w:type="dxa"/>
            <w:hideMark/>
          </w:tcPr>
          <w:p w14:paraId="4956063E" w14:textId="77777777" w:rsidR="003F4653" w:rsidRDefault="003F465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+2.7%</w:t>
            </w:r>
          </w:p>
        </w:tc>
        <w:tc>
          <w:tcPr>
            <w:tcW w:w="739" w:type="dxa"/>
            <w:vAlign w:val="center"/>
            <w:hideMark/>
          </w:tcPr>
          <w:p w14:paraId="043A56B6" w14:textId="77777777" w:rsidR="003F4653" w:rsidRDefault="003F465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+3.0%</w:t>
            </w:r>
          </w:p>
        </w:tc>
        <w:tc>
          <w:tcPr>
            <w:tcW w:w="732" w:type="dxa"/>
            <w:vAlign w:val="center"/>
            <w:hideMark/>
          </w:tcPr>
          <w:p w14:paraId="4D1D43F5" w14:textId="77777777" w:rsidR="003F4653" w:rsidRDefault="003F465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+1.8%</w:t>
            </w:r>
          </w:p>
        </w:tc>
        <w:tc>
          <w:tcPr>
            <w:tcW w:w="742" w:type="dxa"/>
            <w:vAlign w:val="center"/>
            <w:hideMark/>
          </w:tcPr>
          <w:p w14:paraId="76C4DE8C" w14:textId="77777777" w:rsidR="003F4653" w:rsidRDefault="003F465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+1.8%</w:t>
            </w:r>
          </w:p>
        </w:tc>
        <w:tc>
          <w:tcPr>
            <w:tcW w:w="742" w:type="dxa"/>
            <w:vAlign w:val="center"/>
            <w:hideMark/>
          </w:tcPr>
          <w:p w14:paraId="799AAB2C" w14:textId="77777777" w:rsidR="003F4653" w:rsidRDefault="003F465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w:t>
            </w:r>
          </w:p>
        </w:tc>
      </w:tr>
    </w:tbl>
    <w:p w14:paraId="1B3D697F" w14:textId="77777777" w:rsidR="003F4653" w:rsidRDefault="003F4653" w:rsidP="003F4653">
      <w:pPr>
        <w:pStyle w:val="NoSpacing"/>
        <w:rPr>
          <w:sz w:val="8"/>
          <w:szCs w:val="8"/>
        </w:rPr>
      </w:pPr>
    </w:p>
    <w:p w14:paraId="0F1A7023" w14:textId="77777777" w:rsidR="00050880" w:rsidRDefault="00050880" w:rsidP="00F60945">
      <w:pPr>
        <w:spacing w:after="0" w:line="240" w:lineRule="auto"/>
        <w:rPr>
          <w:rFonts w:ascii="Arial" w:hAnsi="Arial" w:cs="Arial"/>
          <w:bCs/>
          <w:color w:val="000000" w:themeColor="text1"/>
          <w:sz w:val="20"/>
          <w:szCs w:val="20"/>
        </w:rPr>
      </w:pPr>
    </w:p>
    <w:p w14:paraId="367E2484" w14:textId="3441974F" w:rsidR="005F0766" w:rsidRPr="00F60945" w:rsidRDefault="00593ECF" w:rsidP="00F60945">
      <w:pPr>
        <w:spacing w:after="0" w:line="240" w:lineRule="auto"/>
        <w:rPr>
          <w:sz w:val="10"/>
          <w:szCs w:val="10"/>
        </w:rPr>
      </w:pPr>
      <w:r>
        <w:rPr>
          <w:rFonts w:ascii="Arial" w:hAnsi="Arial" w:cs="Arial"/>
          <w:bCs/>
          <w:color w:val="000000" w:themeColor="text1"/>
          <w:sz w:val="20"/>
          <w:szCs w:val="20"/>
        </w:rPr>
        <w:t>Seafood prices rose across all three temperature zones, led by frozen</w:t>
      </w:r>
      <w:r w:rsidR="006A6067">
        <w:rPr>
          <w:rFonts w:ascii="Arial" w:hAnsi="Arial" w:cs="Arial"/>
          <w:bCs/>
          <w:color w:val="000000" w:themeColor="text1"/>
          <w:sz w:val="20"/>
          <w:szCs w:val="20"/>
        </w:rPr>
        <w:t>.</w:t>
      </w:r>
      <w:r>
        <w:rPr>
          <w:rFonts w:ascii="Arial" w:hAnsi="Arial" w:cs="Arial"/>
          <w:bCs/>
          <w:color w:val="000000" w:themeColor="text1"/>
          <w:sz w:val="20"/>
          <w:szCs w:val="20"/>
        </w:rPr>
        <w:t xml:space="preserve"> The average price per pound</w:t>
      </w:r>
      <w:r w:rsidR="003F4653">
        <w:rPr>
          <w:rFonts w:ascii="Arial" w:hAnsi="Arial" w:cs="Arial"/>
          <w:bCs/>
          <w:color w:val="000000" w:themeColor="text1"/>
          <w:sz w:val="20"/>
          <w:szCs w:val="20"/>
        </w:rPr>
        <w:t xml:space="preserve"> for fresh seafood increased </w:t>
      </w:r>
      <w:r w:rsidR="00340297">
        <w:rPr>
          <w:rFonts w:ascii="Arial" w:hAnsi="Arial" w:cs="Arial"/>
          <w:bCs/>
          <w:color w:val="000000" w:themeColor="text1"/>
          <w:sz w:val="20"/>
          <w:szCs w:val="20"/>
        </w:rPr>
        <w:t>4.6</w:t>
      </w:r>
      <w:r>
        <w:rPr>
          <w:rFonts w:ascii="Arial" w:hAnsi="Arial" w:cs="Arial"/>
          <w:bCs/>
          <w:color w:val="000000" w:themeColor="text1"/>
          <w:sz w:val="20"/>
          <w:szCs w:val="20"/>
        </w:rPr>
        <w:t xml:space="preserve">% year-over-year, with slightly higher inflation for finfish than shellfish. Frozen </w:t>
      </w:r>
      <w:r w:rsidR="003F4653">
        <w:rPr>
          <w:rFonts w:ascii="Arial" w:hAnsi="Arial" w:cs="Arial"/>
          <w:bCs/>
          <w:color w:val="000000" w:themeColor="text1"/>
          <w:sz w:val="20"/>
          <w:szCs w:val="20"/>
        </w:rPr>
        <w:t xml:space="preserve">seafood items experienced a </w:t>
      </w:r>
      <w:r w:rsidR="00340297">
        <w:rPr>
          <w:rFonts w:ascii="Arial" w:hAnsi="Arial" w:cs="Arial"/>
          <w:bCs/>
          <w:color w:val="000000" w:themeColor="text1"/>
          <w:sz w:val="20"/>
          <w:szCs w:val="20"/>
        </w:rPr>
        <w:t>14.4</w:t>
      </w:r>
      <w:r>
        <w:rPr>
          <w:rFonts w:ascii="Arial" w:hAnsi="Arial" w:cs="Arial"/>
          <w:bCs/>
          <w:color w:val="000000" w:themeColor="text1"/>
          <w:sz w:val="20"/>
          <w:szCs w:val="20"/>
        </w:rPr>
        <w:t xml:space="preserve">% year-over-year increase in </w:t>
      </w:r>
      <w:r w:rsidR="003F4653">
        <w:rPr>
          <w:rFonts w:ascii="Arial" w:hAnsi="Arial" w:cs="Arial"/>
          <w:bCs/>
          <w:color w:val="000000" w:themeColor="text1"/>
          <w:sz w:val="20"/>
          <w:szCs w:val="20"/>
        </w:rPr>
        <w:t>April to an average of $</w:t>
      </w:r>
      <w:r w:rsidR="00340297">
        <w:rPr>
          <w:rFonts w:ascii="Arial" w:hAnsi="Arial" w:cs="Arial"/>
          <w:bCs/>
          <w:color w:val="000000" w:themeColor="text1"/>
          <w:sz w:val="20"/>
          <w:szCs w:val="20"/>
        </w:rPr>
        <w:t>8.14</w:t>
      </w:r>
      <w:r>
        <w:rPr>
          <w:rFonts w:ascii="Arial" w:hAnsi="Arial" w:cs="Arial"/>
          <w:bCs/>
          <w:color w:val="000000" w:themeColor="text1"/>
          <w:sz w:val="20"/>
          <w:szCs w:val="20"/>
        </w:rPr>
        <w:t>. Regardless, that</w:t>
      </w:r>
      <w:r w:rsidR="00340297">
        <w:rPr>
          <w:rFonts w:ascii="Arial" w:hAnsi="Arial" w:cs="Arial"/>
          <w:bCs/>
          <w:color w:val="000000" w:themeColor="text1"/>
          <w:sz w:val="20"/>
          <w:szCs w:val="20"/>
        </w:rPr>
        <w:t xml:space="preserve"> is nearly </w:t>
      </w:r>
      <w:r>
        <w:rPr>
          <w:rFonts w:ascii="Arial" w:hAnsi="Arial" w:cs="Arial"/>
          <w:bCs/>
          <w:color w:val="000000" w:themeColor="text1"/>
          <w:sz w:val="20"/>
          <w:szCs w:val="20"/>
        </w:rPr>
        <w:t xml:space="preserve">$2 less than the average price per pound for fresh seafood. </w:t>
      </w:r>
      <w:r w:rsidR="006A6067">
        <w:rPr>
          <w:rFonts w:ascii="Arial" w:hAnsi="Arial" w:cs="Arial"/>
          <w:bCs/>
          <w:color w:val="000000" w:themeColor="text1"/>
          <w:sz w:val="20"/>
          <w:szCs w:val="20"/>
        </w:rPr>
        <w:t xml:space="preserve"> </w:t>
      </w:r>
      <w:r w:rsidR="00F60945">
        <w:rPr>
          <w:rFonts w:ascii="Arial" w:hAnsi="Arial" w:cs="Arial"/>
          <w:bCs/>
          <w:color w:val="000000" w:themeColor="text1"/>
          <w:sz w:val="20"/>
          <w:szCs w:val="20"/>
        </w:rPr>
        <w:br/>
      </w:r>
    </w:p>
    <w:p w14:paraId="6D5D1936" w14:textId="77777777" w:rsidR="00787CFD" w:rsidRDefault="00787CFD">
      <w:pPr>
        <w:rPr>
          <w:b/>
          <w:bCs/>
        </w:rPr>
      </w:pPr>
      <w:r>
        <w:rPr>
          <w:b/>
          <w:bCs/>
        </w:rPr>
        <w:br w:type="page"/>
      </w:r>
    </w:p>
    <w:p w14:paraId="50BF6936" w14:textId="77777777" w:rsidR="00787CFD" w:rsidRDefault="00787CFD"/>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49"/>
        <w:gridCol w:w="1565"/>
        <w:gridCol w:w="990"/>
        <w:gridCol w:w="1354"/>
        <w:gridCol w:w="1472"/>
        <w:gridCol w:w="1082"/>
        <w:gridCol w:w="1617"/>
      </w:tblGrid>
      <w:tr w:rsidR="00F37F90" w:rsidRPr="00A90189" w14:paraId="1F81DBBF" w14:textId="77777777" w:rsidTr="003D0A3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7D2E1EB6" w:rsidR="007B6412" w:rsidRDefault="007B6412" w:rsidP="00F37F90">
            <w:pPr>
              <w:pStyle w:val="NoSpacing"/>
              <w:rPr>
                <w:rFonts w:ascii="Arial" w:hAnsi="Arial" w:cs="Arial"/>
                <w:color w:val="FFFFFF" w:themeColor="background1"/>
                <w:sz w:val="18"/>
                <w:szCs w:val="18"/>
              </w:rPr>
            </w:pPr>
          </w:p>
        </w:tc>
        <w:tc>
          <w:tcPr>
            <w:tcW w:w="1856"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76A59E5B" w:rsidR="00F37F90" w:rsidRDefault="003F4653"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April</w:t>
            </w:r>
            <w:r w:rsidR="00F34BCF">
              <w:rPr>
                <w:rFonts w:ascii="Arial" w:hAnsi="Arial" w:cs="Arial"/>
                <w:color w:val="FFFFFF" w:themeColor="background1"/>
                <w:sz w:val="18"/>
                <w:szCs w:val="18"/>
              </w:rPr>
              <w:t xml:space="preserve"> </w:t>
            </w:r>
            <w:r w:rsidR="00407D9A">
              <w:rPr>
                <w:rFonts w:ascii="Arial" w:hAnsi="Arial" w:cs="Arial"/>
                <w:color w:val="FFFFFF" w:themeColor="background1"/>
                <w:sz w:val="18"/>
                <w:szCs w:val="18"/>
              </w:rPr>
              <w:t>2026</w:t>
            </w:r>
          </w:p>
        </w:tc>
        <w:tc>
          <w:tcPr>
            <w:tcW w:w="1981" w:type="pct"/>
            <w:gridSpan w:val="3"/>
            <w:tcBorders>
              <w:top w:val="none" w:sz="0" w:space="0" w:color="auto"/>
              <w:left w:val="none" w:sz="0" w:space="0" w:color="auto"/>
              <w:bottom w:val="none" w:sz="0" w:space="0" w:color="auto"/>
              <w:right w:val="none" w:sz="0" w:space="0" w:color="auto"/>
            </w:tcBorders>
            <w:shd w:val="clear" w:color="auto" w:fill="17365D"/>
          </w:tcPr>
          <w:p w14:paraId="5E84962B" w14:textId="0036E690" w:rsidR="00F37F90" w:rsidRPr="00A90189" w:rsidRDefault="00407D9A"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Last 52 weeks</w:t>
            </w:r>
          </w:p>
        </w:tc>
      </w:tr>
      <w:tr w:rsidR="0073287A" w:rsidRPr="009C0178" w14:paraId="4D370E4E" w14:textId="77777777" w:rsidTr="003F465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3" w:type="pct"/>
            <w:shd w:val="clear" w:color="auto" w:fill="17365D" w:themeFill="text2" w:themeFillShade="BF"/>
            <w:tcMar>
              <w:left w:w="115" w:type="dxa"/>
              <w:right w:w="115" w:type="dxa"/>
            </w:tcMar>
          </w:tcPr>
          <w:p w14:paraId="1C9EC5D9" w14:textId="7A6056D4"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F60945">
              <w:rPr>
                <w:rFonts w:ascii="Arial" w:hAnsi="Arial" w:cs="Arial"/>
                <w:b/>
                <w:bCs/>
                <w:color w:val="FFFFFF" w:themeColor="background1"/>
                <w:sz w:val="18"/>
                <w:szCs w:val="18"/>
              </w:rPr>
              <w:t xml:space="preserve">Average price per </w:t>
            </w:r>
            <w:r w:rsidR="001C710E" w:rsidRPr="00F60945">
              <w:rPr>
                <w:rFonts w:ascii="Arial" w:hAnsi="Arial" w:cs="Arial"/>
                <w:b/>
                <w:bCs/>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Change vs. </w:t>
            </w:r>
            <w:r w:rsidR="000C00A0" w:rsidRPr="00F60945">
              <w:rPr>
                <w:rFonts w:ascii="Arial" w:hAnsi="Arial" w:cs="Arial"/>
                <w:b/>
                <w:bCs/>
                <w:color w:val="FFFFFF" w:themeColor="background1"/>
                <w:sz w:val="18"/>
                <w:szCs w:val="18"/>
              </w:rPr>
              <w:t>2</w:t>
            </w:r>
            <w:r w:rsidRPr="00F60945">
              <w:rPr>
                <w:rFonts w:ascii="Arial" w:hAnsi="Arial" w:cs="Arial"/>
                <w:b/>
                <w:bCs/>
                <w:color w:val="FFFFFF" w:themeColor="background1"/>
                <w:sz w:val="18"/>
                <w:szCs w:val="18"/>
              </w:rPr>
              <w:t>YA</w:t>
            </w:r>
          </w:p>
        </w:tc>
        <w:tc>
          <w:tcPr>
            <w:tcW w:w="699" w:type="pct"/>
            <w:shd w:val="clear" w:color="auto" w:fill="17365D"/>
          </w:tcPr>
          <w:p w14:paraId="3E21E46B" w14:textId="4374F2B0"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Average price per </w:t>
            </w:r>
            <w:r w:rsidR="001C710E" w:rsidRPr="00F60945">
              <w:rPr>
                <w:rFonts w:ascii="Arial" w:hAnsi="Arial" w:cs="Arial"/>
                <w:b/>
                <w:bCs/>
                <w:color w:val="FFFFFF" w:themeColor="background1"/>
                <w:sz w:val="18"/>
                <w:szCs w:val="18"/>
              </w:rPr>
              <w:t>pound</w:t>
            </w:r>
          </w:p>
        </w:tc>
        <w:tc>
          <w:tcPr>
            <w:tcW w:w="514" w:type="pct"/>
            <w:shd w:val="clear" w:color="auto" w:fill="17365D" w:themeFill="text2" w:themeFillShade="BF"/>
          </w:tcPr>
          <w:p w14:paraId="3544BA75" w14:textId="574FDBF9"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Change vs. YA</w:t>
            </w:r>
          </w:p>
        </w:tc>
        <w:tc>
          <w:tcPr>
            <w:tcW w:w="768" w:type="pct"/>
            <w:shd w:val="clear" w:color="auto" w:fill="17365D" w:themeFill="text2" w:themeFillShade="BF"/>
          </w:tcPr>
          <w:p w14:paraId="28B1EF53" w14:textId="472E675B"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Change </w:t>
            </w:r>
            <w:r w:rsidR="00B813E6" w:rsidRPr="00F60945">
              <w:rPr>
                <w:rFonts w:ascii="Arial" w:hAnsi="Arial" w:cs="Arial"/>
                <w:b/>
                <w:bCs/>
                <w:color w:val="FFFFFF" w:themeColor="background1"/>
                <w:sz w:val="18"/>
                <w:szCs w:val="18"/>
              </w:rPr>
              <w:br/>
            </w:r>
            <w:r w:rsidRPr="00F60945">
              <w:rPr>
                <w:rFonts w:ascii="Arial" w:hAnsi="Arial" w:cs="Arial"/>
                <w:b/>
                <w:bCs/>
                <w:color w:val="FFFFFF" w:themeColor="background1"/>
                <w:sz w:val="18"/>
                <w:szCs w:val="18"/>
              </w:rPr>
              <w:t xml:space="preserve">vs. </w:t>
            </w:r>
            <w:r w:rsidR="005C5842" w:rsidRPr="00F60945">
              <w:rPr>
                <w:rFonts w:ascii="Arial" w:hAnsi="Arial" w:cs="Arial"/>
                <w:b/>
                <w:bCs/>
                <w:color w:val="FFFFFF" w:themeColor="background1"/>
                <w:sz w:val="18"/>
                <w:szCs w:val="18"/>
              </w:rPr>
              <w:t>2</w:t>
            </w:r>
            <w:r w:rsidRPr="00F60945">
              <w:rPr>
                <w:rFonts w:ascii="Arial" w:hAnsi="Arial" w:cs="Arial"/>
                <w:b/>
                <w:bCs/>
                <w:color w:val="FFFFFF" w:themeColor="background1"/>
                <w:sz w:val="18"/>
                <w:szCs w:val="18"/>
              </w:rPr>
              <w:t>YA</w:t>
            </w:r>
          </w:p>
        </w:tc>
      </w:tr>
      <w:tr w:rsidR="003F4653" w:rsidRPr="009C0178" w14:paraId="2D585FCB"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3F4653" w:rsidRPr="00593ECF" w:rsidRDefault="003F4653" w:rsidP="003F4653">
            <w:pPr>
              <w:rPr>
                <w:rFonts w:ascii="Arial" w:eastAsia="Times New Roman" w:hAnsi="Arial" w:cs="Arial"/>
                <w:color w:val="000000" w:themeColor="text1"/>
                <w:sz w:val="18"/>
                <w:szCs w:val="18"/>
              </w:rPr>
            </w:pPr>
            <w:r w:rsidRPr="00593ECF">
              <w:rPr>
                <w:rFonts w:ascii="Arial" w:eastAsia="Times New Roman" w:hAnsi="Arial" w:cs="Arial"/>
                <w:color w:val="000000" w:themeColor="text1"/>
                <w:sz w:val="18"/>
                <w:szCs w:val="18"/>
              </w:rPr>
              <w:t>Total fresh seafood</w:t>
            </w:r>
          </w:p>
        </w:tc>
        <w:tc>
          <w:tcPr>
            <w:tcW w:w="743" w:type="pct"/>
            <w:shd w:val="clear" w:color="auto" w:fill="FFFFFF" w:themeFill="background1"/>
            <w:tcMar>
              <w:left w:w="115" w:type="dxa"/>
              <w:right w:w="115" w:type="dxa"/>
            </w:tcMar>
            <w:vAlign w:val="bottom"/>
          </w:tcPr>
          <w:p w14:paraId="501AC3BC" w14:textId="305824D5"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986F00">
              <w:rPr>
                <w:rFonts w:ascii="Arial" w:hAnsi="Arial" w:cs="Arial"/>
                <w:b/>
                <w:bCs/>
                <w:color w:val="000000"/>
                <w:sz w:val="18"/>
                <w:szCs w:val="18"/>
              </w:rPr>
              <w:t>9.99</w:t>
            </w:r>
          </w:p>
        </w:tc>
        <w:tc>
          <w:tcPr>
            <w:tcW w:w="470" w:type="pct"/>
            <w:shd w:val="clear" w:color="auto" w:fill="FFFFFF" w:themeFill="background1"/>
            <w:tcMar>
              <w:left w:w="115" w:type="dxa"/>
              <w:right w:w="115" w:type="dxa"/>
            </w:tcMar>
            <w:vAlign w:val="bottom"/>
          </w:tcPr>
          <w:p w14:paraId="2DD3D4D2" w14:textId="295F2675"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986F00">
              <w:rPr>
                <w:rFonts w:ascii="Arial" w:hAnsi="Arial" w:cs="Arial"/>
                <w:b/>
                <w:bCs/>
                <w:color w:val="000000"/>
                <w:sz w:val="18"/>
                <w:szCs w:val="18"/>
              </w:rPr>
              <w:t>4.6</w:t>
            </w:r>
            <w:r w:rsidRPr="00593ECF">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329847BE" w14:textId="0E8593AC"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986F00">
              <w:rPr>
                <w:rFonts w:ascii="Arial" w:hAnsi="Arial" w:cs="Arial"/>
                <w:b/>
                <w:bCs/>
                <w:color w:val="000000"/>
                <w:sz w:val="18"/>
                <w:szCs w:val="18"/>
              </w:rPr>
              <w:t>4.2</w:t>
            </w:r>
            <w:r w:rsidRPr="00593ECF">
              <w:rPr>
                <w:rFonts w:ascii="Arial" w:hAnsi="Arial" w:cs="Arial"/>
                <w:b/>
                <w:bCs/>
                <w:color w:val="000000"/>
                <w:sz w:val="18"/>
                <w:szCs w:val="18"/>
              </w:rPr>
              <w:t>%</w:t>
            </w:r>
          </w:p>
        </w:tc>
        <w:tc>
          <w:tcPr>
            <w:tcW w:w="699" w:type="pct"/>
            <w:tcBorders>
              <w:left w:val="single" w:sz="4" w:space="0" w:color="31849B" w:themeColor="accent5" w:themeShade="BF"/>
            </w:tcBorders>
            <w:shd w:val="clear" w:color="auto" w:fill="FFFFFF" w:themeFill="background1"/>
            <w:vAlign w:val="bottom"/>
          </w:tcPr>
          <w:p w14:paraId="17051A7E" w14:textId="495C48B6"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986F00">
              <w:rPr>
                <w:rFonts w:ascii="Arial" w:hAnsi="Arial" w:cs="Arial"/>
                <w:b/>
                <w:bCs/>
                <w:color w:val="000000"/>
                <w:sz w:val="18"/>
                <w:szCs w:val="18"/>
              </w:rPr>
              <w:t>9.87</w:t>
            </w:r>
          </w:p>
        </w:tc>
        <w:tc>
          <w:tcPr>
            <w:tcW w:w="514" w:type="pct"/>
            <w:shd w:val="clear" w:color="auto" w:fill="FFFFFF" w:themeFill="background1"/>
            <w:vAlign w:val="bottom"/>
          </w:tcPr>
          <w:p w14:paraId="39D61EC7" w14:textId="1C3ABC56"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986F00">
              <w:rPr>
                <w:rFonts w:ascii="Arial" w:hAnsi="Arial" w:cs="Arial"/>
                <w:b/>
                <w:bCs/>
                <w:color w:val="000000"/>
                <w:sz w:val="18"/>
                <w:szCs w:val="18"/>
              </w:rPr>
              <w:t>2.7</w:t>
            </w:r>
            <w:r w:rsidRPr="00593ECF">
              <w:rPr>
                <w:rFonts w:ascii="Arial" w:hAnsi="Arial" w:cs="Arial"/>
                <w:b/>
                <w:bCs/>
                <w:color w:val="000000"/>
                <w:sz w:val="18"/>
                <w:szCs w:val="18"/>
              </w:rPr>
              <w:t>%</w:t>
            </w:r>
          </w:p>
        </w:tc>
        <w:tc>
          <w:tcPr>
            <w:tcW w:w="768" w:type="pct"/>
            <w:shd w:val="clear" w:color="auto" w:fill="FFFFFF" w:themeFill="background1"/>
            <w:vAlign w:val="bottom"/>
          </w:tcPr>
          <w:p w14:paraId="66678B50" w14:textId="522555C8"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986F00">
              <w:rPr>
                <w:rFonts w:ascii="Arial" w:hAnsi="Arial" w:cs="Arial"/>
                <w:b/>
                <w:bCs/>
                <w:color w:val="000000"/>
                <w:sz w:val="18"/>
                <w:szCs w:val="18"/>
              </w:rPr>
              <w:t>3.4</w:t>
            </w:r>
            <w:r w:rsidRPr="00593ECF">
              <w:rPr>
                <w:rFonts w:ascii="Arial" w:hAnsi="Arial" w:cs="Arial"/>
                <w:b/>
                <w:bCs/>
                <w:color w:val="000000"/>
                <w:sz w:val="18"/>
                <w:szCs w:val="18"/>
              </w:rPr>
              <w:t>%</w:t>
            </w:r>
          </w:p>
        </w:tc>
      </w:tr>
      <w:tr w:rsidR="003F4653" w:rsidRPr="001C710E" w14:paraId="3DD603CC" w14:textId="77777777" w:rsidTr="00F6094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3F4653" w:rsidRPr="00593ECF" w:rsidRDefault="003F4653" w:rsidP="003F4653">
            <w:pPr>
              <w:rPr>
                <w:rFonts w:ascii="Arial" w:eastAsia="Times New Roman" w:hAnsi="Arial" w:cs="Arial"/>
                <w:b w:val="0"/>
                <w:color w:val="000000" w:themeColor="text1"/>
                <w:sz w:val="18"/>
                <w:szCs w:val="18"/>
              </w:rPr>
            </w:pPr>
            <w:r w:rsidRPr="00593ECF">
              <w:rPr>
                <w:rFonts w:ascii="Arial" w:eastAsia="Times New Roman" w:hAnsi="Arial" w:cs="Arial"/>
                <w:b w:val="0"/>
                <w:bCs w:val="0"/>
                <w:color w:val="000000" w:themeColor="text1"/>
                <w:sz w:val="18"/>
                <w:szCs w:val="18"/>
              </w:rPr>
              <w:t>Fresh finfish</w:t>
            </w:r>
          </w:p>
        </w:tc>
        <w:tc>
          <w:tcPr>
            <w:tcW w:w="743" w:type="pct"/>
            <w:shd w:val="clear" w:color="auto" w:fill="D9D9D9" w:themeFill="background1" w:themeFillShade="D9"/>
            <w:tcMar>
              <w:left w:w="115" w:type="dxa"/>
              <w:right w:w="115" w:type="dxa"/>
            </w:tcMar>
            <w:vAlign w:val="bottom"/>
          </w:tcPr>
          <w:p w14:paraId="1E4323D1" w14:textId="5A06AB8B" w:rsidR="003F4653" w:rsidRPr="00593ECF"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10.76</w:t>
            </w:r>
          </w:p>
        </w:tc>
        <w:tc>
          <w:tcPr>
            <w:tcW w:w="470" w:type="pct"/>
            <w:shd w:val="clear" w:color="auto" w:fill="D9D9D9" w:themeFill="background1" w:themeFillShade="D9"/>
            <w:tcMar>
              <w:left w:w="115" w:type="dxa"/>
              <w:right w:w="115" w:type="dxa"/>
            </w:tcMar>
            <w:vAlign w:val="bottom"/>
          </w:tcPr>
          <w:p w14:paraId="10C1BBE1" w14:textId="58B71794" w:rsidR="003F4653" w:rsidRPr="00593ECF"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5.1</w:t>
            </w:r>
            <w:r w:rsidRPr="00593ECF">
              <w:rPr>
                <w:rFonts w:ascii="Arial" w:hAnsi="Arial" w:cs="Arial"/>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73516DFE" w14:textId="040F3448" w:rsidR="003F4653" w:rsidRPr="00593ECF"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2.4</w:t>
            </w:r>
            <w:r w:rsidRPr="00593ECF">
              <w:rPr>
                <w:rFonts w:ascii="Arial" w:hAnsi="Arial" w:cs="Arial"/>
                <w:color w:val="000000"/>
                <w:sz w:val="18"/>
                <w:szCs w:val="18"/>
              </w:rPr>
              <w:t>%</w:t>
            </w:r>
          </w:p>
        </w:tc>
        <w:tc>
          <w:tcPr>
            <w:tcW w:w="699" w:type="pct"/>
            <w:tcBorders>
              <w:left w:val="single" w:sz="4" w:space="0" w:color="31849B" w:themeColor="accent5" w:themeShade="BF"/>
            </w:tcBorders>
            <w:shd w:val="clear" w:color="auto" w:fill="D9D9D9" w:themeFill="background1" w:themeFillShade="D9"/>
            <w:vAlign w:val="bottom"/>
          </w:tcPr>
          <w:p w14:paraId="15F59F83" w14:textId="604C37D4" w:rsidR="003F4653" w:rsidRPr="00593ECF"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10.58</w:t>
            </w:r>
          </w:p>
        </w:tc>
        <w:tc>
          <w:tcPr>
            <w:tcW w:w="514" w:type="pct"/>
            <w:shd w:val="clear" w:color="auto" w:fill="D9D9D9" w:themeFill="background1" w:themeFillShade="D9"/>
            <w:vAlign w:val="bottom"/>
          </w:tcPr>
          <w:p w14:paraId="0AF53059" w14:textId="7330B3C9" w:rsidR="003F4653" w:rsidRPr="00593ECF"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1.8</w:t>
            </w:r>
            <w:r w:rsidRPr="00593ECF">
              <w:rPr>
                <w:rFonts w:ascii="Arial" w:hAnsi="Arial" w:cs="Arial"/>
                <w:color w:val="000000"/>
                <w:sz w:val="18"/>
                <w:szCs w:val="18"/>
              </w:rPr>
              <w:t>%</w:t>
            </w:r>
          </w:p>
        </w:tc>
        <w:tc>
          <w:tcPr>
            <w:tcW w:w="768" w:type="pct"/>
            <w:shd w:val="clear" w:color="auto" w:fill="D9D9D9" w:themeFill="background1" w:themeFillShade="D9"/>
            <w:vAlign w:val="bottom"/>
          </w:tcPr>
          <w:p w14:paraId="7B4C6BF1" w14:textId="3BED6639" w:rsidR="003F4653" w:rsidRPr="00593ECF"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1.2</w:t>
            </w:r>
            <w:r w:rsidRPr="00593ECF">
              <w:rPr>
                <w:rFonts w:ascii="Arial" w:hAnsi="Arial" w:cs="Arial"/>
                <w:color w:val="000000"/>
                <w:sz w:val="18"/>
                <w:szCs w:val="18"/>
              </w:rPr>
              <w:t>%</w:t>
            </w:r>
          </w:p>
        </w:tc>
      </w:tr>
      <w:tr w:rsidR="003F4653" w:rsidRPr="001C710E" w14:paraId="5A269FB9"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3F4653" w:rsidRPr="00593ECF" w:rsidRDefault="003F4653" w:rsidP="003F4653">
            <w:pPr>
              <w:rPr>
                <w:rFonts w:ascii="Arial" w:eastAsia="Times New Roman" w:hAnsi="Arial" w:cs="Arial"/>
                <w:b w:val="0"/>
                <w:color w:val="000000" w:themeColor="text1"/>
                <w:sz w:val="18"/>
                <w:szCs w:val="18"/>
              </w:rPr>
            </w:pPr>
            <w:r w:rsidRPr="00593ECF">
              <w:rPr>
                <w:rFonts w:ascii="Arial" w:eastAsia="Times New Roman" w:hAnsi="Arial" w:cs="Arial"/>
                <w:b w:val="0"/>
                <w:bCs w:val="0"/>
                <w:color w:val="000000" w:themeColor="text1"/>
                <w:sz w:val="18"/>
                <w:szCs w:val="18"/>
              </w:rPr>
              <w:t>Fresh shellfish</w:t>
            </w:r>
          </w:p>
        </w:tc>
        <w:tc>
          <w:tcPr>
            <w:tcW w:w="743" w:type="pct"/>
            <w:tcMar>
              <w:left w:w="115" w:type="dxa"/>
              <w:right w:w="115" w:type="dxa"/>
            </w:tcMar>
            <w:vAlign w:val="bottom"/>
          </w:tcPr>
          <w:p w14:paraId="354F3F01" w14:textId="075C6E5C"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9.19</w:t>
            </w:r>
          </w:p>
        </w:tc>
        <w:tc>
          <w:tcPr>
            <w:tcW w:w="470" w:type="pct"/>
            <w:tcMar>
              <w:left w:w="115" w:type="dxa"/>
              <w:right w:w="115" w:type="dxa"/>
            </w:tcMar>
            <w:vAlign w:val="bottom"/>
          </w:tcPr>
          <w:p w14:paraId="3C30D052" w14:textId="58EB8DE2"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4.4</w:t>
            </w:r>
            <w:r w:rsidRPr="00593ECF">
              <w:rPr>
                <w:rFonts w:ascii="Arial" w:hAnsi="Arial" w:cs="Arial"/>
                <w:color w:val="000000"/>
                <w:sz w:val="18"/>
                <w:szCs w:val="18"/>
              </w:rPr>
              <w:t>%</w:t>
            </w:r>
          </w:p>
        </w:tc>
        <w:tc>
          <w:tcPr>
            <w:tcW w:w="643" w:type="pct"/>
            <w:tcBorders>
              <w:right w:val="single" w:sz="4" w:space="0" w:color="31849B" w:themeColor="accent5" w:themeShade="BF"/>
            </w:tcBorders>
            <w:tcMar>
              <w:left w:w="115" w:type="dxa"/>
              <w:right w:w="115" w:type="dxa"/>
            </w:tcMar>
            <w:vAlign w:val="bottom"/>
          </w:tcPr>
          <w:p w14:paraId="37B4B427" w14:textId="3DC4441F"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9.6</w:t>
            </w:r>
            <w:r w:rsidRPr="00593ECF">
              <w:rPr>
                <w:rFonts w:ascii="Arial" w:hAnsi="Arial" w:cs="Arial"/>
                <w:color w:val="000000"/>
                <w:sz w:val="18"/>
                <w:szCs w:val="18"/>
              </w:rPr>
              <w:t>%</w:t>
            </w:r>
          </w:p>
        </w:tc>
        <w:tc>
          <w:tcPr>
            <w:tcW w:w="699" w:type="pct"/>
            <w:tcBorders>
              <w:left w:val="single" w:sz="4" w:space="0" w:color="31849B" w:themeColor="accent5" w:themeShade="BF"/>
            </w:tcBorders>
            <w:vAlign w:val="bottom"/>
          </w:tcPr>
          <w:p w14:paraId="2A701842" w14:textId="7544E53C"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9.22</w:t>
            </w:r>
          </w:p>
        </w:tc>
        <w:tc>
          <w:tcPr>
            <w:tcW w:w="514" w:type="pct"/>
            <w:vAlign w:val="bottom"/>
          </w:tcPr>
          <w:p w14:paraId="295F5885" w14:textId="03E0B0F2"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4.3</w:t>
            </w:r>
            <w:r w:rsidRPr="00593ECF">
              <w:rPr>
                <w:rFonts w:ascii="Arial" w:hAnsi="Arial" w:cs="Arial"/>
                <w:color w:val="000000"/>
                <w:sz w:val="18"/>
                <w:szCs w:val="18"/>
              </w:rPr>
              <w:t>%</w:t>
            </w:r>
          </w:p>
        </w:tc>
        <w:tc>
          <w:tcPr>
            <w:tcW w:w="768" w:type="pct"/>
            <w:vAlign w:val="bottom"/>
          </w:tcPr>
          <w:p w14:paraId="49D3B72A" w14:textId="2A4EACB2"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7.3</w:t>
            </w:r>
            <w:r w:rsidRPr="00593ECF">
              <w:rPr>
                <w:rFonts w:ascii="Arial" w:hAnsi="Arial" w:cs="Arial"/>
                <w:color w:val="000000"/>
                <w:sz w:val="18"/>
                <w:szCs w:val="18"/>
              </w:rPr>
              <w:t>%</w:t>
            </w:r>
          </w:p>
        </w:tc>
      </w:tr>
      <w:tr w:rsidR="003F4653" w:rsidRPr="009C0178" w14:paraId="6D4B0F28" w14:textId="77777777" w:rsidTr="00F6094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3F4653" w:rsidRPr="00593ECF" w:rsidRDefault="003F4653" w:rsidP="003F4653">
            <w:pPr>
              <w:rPr>
                <w:rFonts w:ascii="Arial" w:eastAsia="Times New Roman" w:hAnsi="Arial" w:cs="Arial"/>
                <w:color w:val="000000" w:themeColor="text1"/>
                <w:sz w:val="18"/>
                <w:szCs w:val="18"/>
              </w:rPr>
            </w:pPr>
            <w:r w:rsidRPr="00593ECF">
              <w:rPr>
                <w:rFonts w:ascii="Arial" w:eastAsia="Times New Roman" w:hAnsi="Arial" w:cs="Arial"/>
                <w:color w:val="000000" w:themeColor="text1"/>
                <w:sz w:val="18"/>
                <w:szCs w:val="18"/>
              </w:rPr>
              <w:t>Total frozen seafood</w:t>
            </w:r>
          </w:p>
        </w:tc>
        <w:tc>
          <w:tcPr>
            <w:tcW w:w="743" w:type="pct"/>
            <w:shd w:val="clear" w:color="auto" w:fill="D9D9D9" w:themeFill="background1" w:themeFillShade="D9"/>
            <w:tcMar>
              <w:left w:w="115" w:type="dxa"/>
              <w:right w:w="115" w:type="dxa"/>
            </w:tcMar>
            <w:vAlign w:val="bottom"/>
          </w:tcPr>
          <w:p w14:paraId="6AA1A40C" w14:textId="3B2155FC" w:rsidR="003F4653" w:rsidRPr="00593ECF"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F53772">
              <w:rPr>
                <w:rFonts w:ascii="Arial" w:hAnsi="Arial" w:cs="Arial"/>
                <w:b/>
                <w:bCs/>
                <w:color w:val="000000"/>
                <w:sz w:val="18"/>
                <w:szCs w:val="18"/>
              </w:rPr>
              <w:t>8.14</w:t>
            </w:r>
          </w:p>
        </w:tc>
        <w:tc>
          <w:tcPr>
            <w:tcW w:w="470" w:type="pct"/>
            <w:shd w:val="clear" w:color="auto" w:fill="D9D9D9" w:themeFill="background1" w:themeFillShade="D9"/>
            <w:tcMar>
              <w:left w:w="115" w:type="dxa"/>
              <w:right w:w="115" w:type="dxa"/>
            </w:tcMar>
            <w:vAlign w:val="bottom"/>
          </w:tcPr>
          <w:p w14:paraId="561F5313" w14:textId="0F54DBB4" w:rsidR="003F4653" w:rsidRPr="00593ECF"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F53772">
              <w:rPr>
                <w:rFonts w:ascii="Arial" w:hAnsi="Arial" w:cs="Arial"/>
                <w:b/>
                <w:bCs/>
                <w:color w:val="000000"/>
                <w:sz w:val="18"/>
                <w:szCs w:val="18"/>
              </w:rPr>
              <w:t>14.4</w:t>
            </w:r>
            <w:r w:rsidRPr="00593ECF">
              <w:rPr>
                <w:rFonts w:ascii="Arial" w:hAnsi="Arial" w:cs="Arial"/>
                <w:b/>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0AC2DD44" w14:textId="143A0B9A" w:rsidR="003F4653" w:rsidRPr="00593ECF"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F53772">
              <w:rPr>
                <w:rFonts w:ascii="Arial" w:hAnsi="Arial" w:cs="Arial"/>
                <w:b/>
                <w:bCs/>
                <w:color w:val="000000"/>
                <w:sz w:val="18"/>
                <w:szCs w:val="18"/>
              </w:rPr>
              <w:t>12.2</w:t>
            </w:r>
            <w:r w:rsidRPr="00593ECF">
              <w:rPr>
                <w:rFonts w:ascii="Arial" w:hAnsi="Arial" w:cs="Arial"/>
                <w:b/>
                <w:bCs/>
                <w:color w:val="000000"/>
                <w:sz w:val="18"/>
                <w:szCs w:val="18"/>
              </w:rPr>
              <w:t>%</w:t>
            </w:r>
          </w:p>
        </w:tc>
        <w:tc>
          <w:tcPr>
            <w:tcW w:w="699" w:type="pct"/>
            <w:tcBorders>
              <w:left w:val="single" w:sz="4" w:space="0" w:color="31849B" w:themeColor="accent5" w:themeShade="BF"/>
            </w:tcBorders>
            <w:shd w:val="clear" w:color="auto" w:fill="D9D9D9" w:themeFill="background1" w:themeFillShade="D9"/>
            <w:vAlign w:val="bottom"/>
          </w:tcPr>
          <w:p w14:paraId="70AF399D" w14:textId="6D2941B8" w:rsidR="003F4653" w:rsidRPr="00593ECF"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F53772">
              <w:rPr>
                <w:rFonts w:ascii="Arial" w:hAnsi="Arial" w:cs="Arial"/>
                <w:b/>
                <w:bCs/>
                <w:color w:val="000000"/>
                <w:sz w:val="18"/>
                <w:szCs w:val="18"/>
              </w:rPr>
              <w:t>7.75</w:t>
            </w:r>
          </w:p>
        </w:tc>
        <w:tc>
          <w:tcPr>
            <w:tcW w:w="514" w:type="pct"/>
            <w:shd w:val="clear" w:color="auto" w:fill="D9D9D9" w:themeFill="background1" w:themeFillShade="D9"/>
            <w:vAlign w:val="bottom"/>
          </w:tcPr>
          <w:p w14:paraId="0D4239EB" w14:textId="4020AB64" w:rsidR="003F4653" w:rsidRPr="00593ECF"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F53772">
              <w:rPr>
                <w:rFonts w:ascii="Arial" w:hAnsi="Arial" w:cs="Arial"/>
                <w:b/>
                <w:bCs/>
                <w:color w:val="000000"/>
                <w:sz w:val="18"/>
                <w:szCs w:val="18"/>
              </w:rPr>
              <w:t>6.7</w:t>
            </w:r>
            <w:r w:rsidRPr="00593ECF">
              <w:rPr>
                <w:rFonts w:ascii="Arial" w:hAnsi="Arial" w:cs="Arial"/>
                <w:b/>
                <w:bCs/>
                <w:color w:val="000000"/>
                <w:sz w:val="18"/>
                <w:szCs w:val="18"/>
              </w:rPr>
              <w:t>%</w:t>
            </w:r>
          </w:p>
        </w:tc>
        <w:tc>
          <w:tcPr>
            <w:tcW w:w="768" w:type="pct"/>
            <w:shd w:val="clear" w:color="auto" w:fill="D9D9D9" w:themeFill="background1" w:themeFillShade="D9"/>
            <w:vAlign w:val="bottom"/>
          </w:tcPr>
          <w:p w14:paraId="40B4A5D7" w14:textId="3D75AC6A" w:rsidR="003F4653" w:rsidRPr="00593ECF"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F53772">
              <w:rPr>
                <w:rFonts w:ascii="Arial" w:hAnsi="Arial" w:cs="Arial"/>
                <w:b/>
                <w:bCs/>
                <w:color w:val="000000"/>
                <w:sz w:val="18"/>
                <w:szCs w:val="18"/>
              </w:rPr>
              <w:t>5.3</w:t>
            </w:r>
            <w:r w:rsidRPr="00593ECF">
              <w:rPr>
                <w:rFonts w:ascii="Arial" w:hAnsi="Arial" w:cs="Arial"/>
                <w:b/>
                <w:bCs/>
                <w:color w:val="000000"/>
                <w:sz w:val="18"/>
                <w:szCs w:val="18"/>
              </w:rPr>
              <w:t>%</w:t>
            </w:r>
          </w:p>
        </w:tc>
      </w:tr>
      <w:tr w:rsidR="003F4653" w:rsidRPr="009C0178" w14:paraId="0A8B314F"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3F4653" w:rsidRPr="00593ECF" w:rsidRDefault="003F4653" w:rsidP="003F4653">
            <w:pPr>
              <w:rPr>
                <w:rFonts w:ascii="Arial" w:eastAsia="Times New Roman" w:hAnsi="Arial" w:cs="Arial"/>
                <w:color w:val="000000" w:themeColor="text1"/>
                <w:sz w:val="18"/>
                <w:szCs w:val="18"/>
                <w:highlight w:val="yellow"/>
              </w:rPr>
            </w:pPr>
            <w:r w:rsidRPr="00593ECF">
              <w:rPr>
                <w:rFonts w:ascii="Arial" w:eastAsia="Times New Roman" w:hAnsi="Arial" w:cs="Arial"/>
                <w:color w:val="000000" w:themeColor="text1"/>
                <w:sz w:val="18"/>
                <w:szCs w:val="18"/>
              </w:rPr>
              <w:t>Shelf-stable seafood</w:t>
            </w:r>
          </w:p>
        </w:tc>
        <w:tc>
          <w:tcPr>
            <w:tcW w:w="743" w:type="pct"/>
            <w:shd w:val="clear" w:color="auto" w:fill="FFFFFF" w:themeFill="background1"/>
            <w:tcMar>
              <w:left w:w="115" w:type="dxa"/>
              <w:right w:w="115" w:type="dxa"/>
            </w:tcMar>
            <w:vAlign w:val="bottom"/>
          </w:tcPr>
          <w:p w14:paraId="4F268D8A" w14:textId="44BF83BB"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40297">
              <w:rPr>
                <w:rFonts w:ascii="Arial" w:hAnsi="Arial" w:cs="Arial"/>
                <w:b/>
                <w:bCs/>
                <w:color w:val="000000"/>
                <w:sz w:val="18"/>
                <w:szCs w:val="18"/>
              </w:rPr>
              <w:t>5.74</w:t>
            </w:r>
          </w:p>
        </w:tc>
        <w:tc>
          <w:tcPr>
            <w:tcW w:w="470" w:type="pct"/>
            <w:shd w:val="clear" w:color="auto" w:fill="FFFFFF" w:themeFill="background1"/>
            <w:tcMar>
              <w:left w:w="115" w:type="dxa"/>
              <w:right w:w="115" w:type="dxa"/>
            </w:tcMar>
            <w:vAlign w:val="bottom"/>
          </w:tcPr>
          <w:p w14:paraId="1510CC5D" w14:textId="60B84A80"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40297">
              <w:rPr>
                <w:rFonts w:ascii="Arial" w:hAnsi="Arial" w:cs="Arial"/>
                <w:b/>
                <w:bCs/>
                <w:color w:val="000000"/>
                <w:sz w:val="18"/>
                <w:szCs w:val="18"/>
              </w:rPr>
              <w:t>13.4</w:t>
            </w:r>
            <w:r w:rsidRPr="00593ECF">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407CCE79" w14:textId="3FB251B0"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40297">
              <w:rPr>
                <w:rFonts w:ascii="Arial" w:hAnsi="Arial" w:cs="Arial"/>
                <w:b/>
                <w:bCs/>
                <w:color w:val="000000"/>
                <w:sz w:val="18"/>
                <w:szCs w:val="18"/>
              </w:rPr>
              <w:t>9.8</w:t>
            </w:r>
            <w:r w:rsidRPr="00593ECF">
              <w:rPr>
                <w:rFonts w:ascii="Arial" w:hAnsi="Arial" w:cs="Arial"/>
                <w:b/>
                <w:bCs/>
                <w:color w:val="000000"/>
                <w:sz w:val="18"/>
                <w:szCs w:val="18"/>
              </w:rPr>
              <w:t>%</w:t>
            </w:r>
          </w:p>
        </w:tc>
        <w:tc>
          <w:tcPr>
            <w:tcW w:w="699" w:type="pct"/>
            <w:tcBorders>
              <w:left w:val="single" w:sz="4" w:space="0" w:color="31849B" w:themeColor="accent5" w:themeShade="BF"/>
            </w:tcBorders>
            <w:shd w:val="clear" w:color="auto" w:fill="FFFFFF" w:themeFill="background1"/>
            <w:vAlign w:val="bottom"/>
          </w:tcPr>
          <w:p w14:paraId="0F09C4C3" w14:textId="2CAF9F43"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40297">
              <w:rPr>
                <w:rFonts w:ascii="Arial" w:hAnsi="Arial" w:cs="Arial"/>
                <w:b/>
                <w:bCs/>
                <w:color w:val="000000"/>
                <w:sz w:val="18"/>
                <w:szCs w:val="18"/>
              </w:rPr>
              <w:t>5.40</w:t>
            </w:r>
          </w:p>
        </w:tc>
        <w:tc>
          <w:tcPr>
            <w:tcW w:w="514" w:type="pct"/>
            <w:shd w:val="clear" w:color="auto" w:fill="FFFFFF" w:themeFill="background1"/>
            <w:vAlign w:val="bottom"/>
          </w:tcPr>
          <w:p w14:paraId="04CE274A" w14:textId="58339650"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40297">
              <w:rPr>
                <w:rFonts w:ascii="Arial" w:hAnsi="Arial" w:cs="Arial"/>
                <w:b/>
                <w:bCs/>
                <w:color w:val="000000"/>
                <w:sz w:val="18"/>
                <w:szCs w:val="18"/>
              </w:rPr>
              <w:t>5.3</w:t>
            </w:r>
            <w:r w:rsidRPr="00593ECF">
              <w:rPr>
                <w:rFonts w:ascii="Arial" w:hAnsi="Arial" w:cs="Arial"/>
                <w:b/>
                <w:bCs/>
                <w:color w:val="000000"/>
                <w:sz w:val="18"/>
                <w:szCs w:val="18"/>
              </w:rPr>
              <w:t>%</w:t>
            </w:r>
          </w:p>
        </w:tc>
        <w:tc>
          <w:tcPr>
            <w:tcW w:w="768" w:type="pct"/>
            <w:shd w:val="clear" w:color="auto" w:fill="FFFFFF" w:themeFill="background1"/>
            <w:vAlign w:val="bottom"/>
          </w:tcPr>
          <w:p w14:paraId="73C5E911" w14:textId="236545D9" w:rsidR="003F4653" w:rsidRPr="00593ECF"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340297">
              <w:rPr>
                <w:rFonts w:ascii="Arial" w:hAnsi="Arial" w:cs="Arial"/>
                <w:b/>
                <w:bCs/>
                <w:color w:val="000000"/>
                <w:sz w:val="18"/>
                <w:szCs w:val="18"/>
              </w:rPr>
              <w:t>2.2</w:t>
            </w:r>
            <w:r w:rsidRPr="00593ECF">
              <w:rPr>
                <w:rFonts w:ascii="Arial" w:hAnsi="Arial" w:cs="Arial"/>
                <w:b/>
                <w:bCs/>
                <w:color w:val="000000"/>
                <w:sz w:val="18"/>
                <w:szCs w:val="18"/>
              </w:rPr>
              <w:t>%</w:t>
            </w:r>
          </w:p>
        </w:tc>
      </w:tr>
    </w:tbl>
    <w:p w14:paraId="44C0F1C8" w14:textId="770A8E11" w:rsidR="00FC4C8F" w:rsidRDefault="00544D35" w:rsidP="00A357C9">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r w:rsidR="007A44BE" w:rsidRPr="002327AA">
        <w:rPr>
          <w:rFonts w:ascii="Arial" w:hAnsi="Arial" w:cs="Arial"/>
          <w:color w:val="7F7F7F" w:themeColor="text1" w:themeTint="80"/>
          <w:sz w:val="16"/>
          <w:szCs w:val="16"/>
        </w:rPr>
        <w:t>Circana</w:t>
      </w:r>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6CF1F715" w14:textId="77777777" w:rsidR="001255CA" w:rsidRDefault="001255CA" w:rsidP="00544D35">
      <w:pPr>
        <w:pStyle w:val="NoSpacing"/>
        <w:rPr>
          <w:rFonts w:ascii="Arial" w:hAnsi="Arial" w:cs="Arial"/>
          <w:sz w:val="20"/>
          <w:szCs w:val="20"/>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811"/>
        <w:gridCol w:w="1554"/>
        <w:gridCol w:w="1075"/>
        <w:gridCol w:w="1162"/>
      </w:tblGrid>
      <w:tr w:rsidR="001255CA" w:rsidRPr="00DA3DDE" w14:paraId="7987360B" w14:textId="77777777" w:rsidTr="00B66A2B">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tcBorders>
              <w:top w:val="none" w:sz="0" w:space="0" w:color="auto"/>
              <w:bottom w:val="none" w:sz="0" w:space="0" w:color="auto"/>
            </w:tcBorders>
            <w:shd w:val="clear" w:color="auto" w:fill="17365D" w:themeFill="text2" w:themeFillShade="BF"/>
          </w:tcPr>
          <w:p w14:paraId="2E58E219" w14:textId="77777777" w:rsidR="001255CA" w:rsidRDefault="001255CA" w:rsidP="009F1921">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Price per pound </w:t>
            </w:r>
          </w:p>
          <w:p w14:paraId="22E6963A" w14:textId="38A7D573" w:rsidR="001255CA" w:rsidRPr="00DA3DDE" w:rsidRDefault="003F4653" w:rsidP="009F1921">
            <w:pPr>
              <w:pStyle w:val="NoSpacing"/>
              <w:rPr>
                <w:rFonts w:ascii="Arial" w:hAnsi="Arial" w:cs="Arial"/>
                <w:color w:val="FFFFFF" w:themeColor="background1"/>
                <w:sz w:val="18"/>
                <w:szCs w:val="18"/>
              </w:rPr>
            </w:pPr>
            <w:r>
              <w:rPr>
                <w:rFonts w:ascii="Arial" w:hAnsi="Arial" w:cs="Arial"/>
                <w:color w:val="FFFFFF" w:themeColor="background1"/>
                <w:sz w:val="18"/>
                <w:szCs w:val="18"/>
              </w:rPr>
              <w:t>April</w:t>
            </w:r>
            <w:r w:rsidR="00F34BCF">
              <w:rPr>
                <w:rFonts w:ascii="Arial" w:hAnsi="Arial" w:cs="Arial"/>
                <w:color w:val="FFFFFF" w:themeColor="background1"/>
                <w:sz w:val="18"/>
                <w:szCs w:val="18"/>
              </w:rPr>
              <w:t xml:space="preserve"> </w:t>
            </w:r>
            <w:r w:rsidR="006A6067">
              <w:rPr>
                <w:rFonts w:ascii="Arial" w:hAnsi="Arial" w:cs="Arial"/>
                <w:color w:val="FFFFFF" w:themeColor="background1"/>
                <w:sz w:val="18"/>
                <w:szCs w:val="18"/>
              </w:rPr>
              <w:t>2026</w:t>
            </w:r>
          </w:p>
        </w:tc>
        <w:tc>
          <w:tcPr>
            <w:tcW w:w="1177" w:type="pct"/>
            <w:tcBorders>
              <w:top w:val="none" w:sz="0" w:space="0" w:color="auto"/>
              <w:bottom w:val="none" w:sz="0" w:space="0" w:color="auto"/>
            </w:tcBorders>
            <w:shd w:val="clear" w:color="auto" w:fill="17365D" w:themeFill="text2" w:themeFillShade="BF"/>
            <w:tcMar>
              <w:left w:w="115" w:type="dxa"/>
              <w:right w:w="115" w:type="dxa"/>
            </w:tcMar>
          </w:tcPr>
          <w:p w14:paraId="031DEAF1"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tcBorders>
              <w:top w:val="none" w:sz="0" w:space="0" w:color="auto"/>
              <w:bottom w:val="none" w:sz="0" w:space="0" w:color="auto"/>
            </w:tcBorders>
            <w:shd w:val="clear" w:color="auto" w:fill="17365D" w:themeFill="text2" w:themeFillShade="BF"/>
            <w:tcMar>
              <w:left w:w="115" w:type="dxa"/>
              <w:right w:w="115" w:type="dxa"/>
            </w:tcMar>
          </w:tcPr>
          <w:p w14:paraId="2DCAD80C"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tcBorders>
              <w:top w:val="none" w:sz="0" w:space="0" w:color="auto"/>
              <w:bottom w:val="none" w:sz="0" w:space="0" w:color="auto"/>
            </w:tcBorders>
            <w:shd w:val="clear" w:color="auto" w:fill="17365D" w:themeFill="text2" w:themeFillShade="BF"/>
            <w:tcMar>
              <w:left w:w="115" w:type="dxa"/>
              <w:right w:w="115" w:type="dxa"/>
            </w:tcMar>
          </w:tcPr>
          <w:p w14:paraId="59CF1C8D"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3F4653" w:rsidRPr="001A7423" w14:paraId="5387C483" w14:textId="77777777" w:rsidTr="00F82D45">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331489E" w14:textId="19D5CBC3" w:rsidR="003F4653" w:rsidRPr="001C710E" w:rsidRDefault="003F4653" w:rsidP="003F465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tcPr>
          <w:p w14:paraId="24BBC2B9" w14:textId="5240EF89"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066BE">
              <w:rPr>
                <w:rFonts w:ascii="Arial" w:hAnsi="Arial" w:cs="Arial"/>
                <w:color w:val="000000"/>
                <w:sz w:val="18"/>
                <w:szCs w:val="18"/>
              </w:rPr>
              <w:t>$</w:t>
            </w:r>
            <w:r w:rsidR="00986F00">
              <w:rPr>
                <w:rFonts w:ascii="Arial" w:hAnsi="Arial" w:cs="Arial"/>
                <w:color w:val="000000"/>
                <w:sz w:val="18"/>
                <w:szCs w:val="18"/>
              </w:rPr>
              <w:t>11.73</w:t>
            </w:r>
          </w:p>
        </w:tc>
        <w:tc>
          <w:tcPr>
            <w:tcW w:w="814" w:type="pct"/>
            <w:shd w:val="clear" w:color="auto" w:fill="FFFFFF" w:themeFill="background1"/>
            <w:tcMar>
              <w:left w:w="115" w:type="dxa"/>
              <w:right w:w="115" w:type="dxa"/>
            </w:tcMar>
          </w:tcPr>
          <w:p w14:paraId="5229E735" w14:textId="043BB5E5"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986F00">
              <w:rPr>
                <w:rFonts w:ascii="Arial" w:hAnsi="Arial" w:cs="Arial"/>
                <w:color w:val="000000"/>
                <w:sz w:val="18"/>
                <w:szCs w:val="18"/>
              </w:rPr>
              <w:t>3.6</w:t>
            </w:r>
            <w:r w:rsidRPr="008F78CA">
              <w:rPr>
                <w:rFonts w:ascii="Arial" w:hAnsi="Arial" w:cs="Arial"/>
                <w:color w:val="000000"/>
                <w:sz w:val="18"/>
                <w:szCs w:val="18"/>
              </w:rPr>
              <w:t>%</w:t>
            </w:r>
          </w:p>
        </w:tc>
        <w:tc>
          <w:tcPr>
            <w:tcW w:w="880" w:type="pct"/>
            <w:shd w:val="clear" w:color="auto" w:fill="FFFFFF" w:themeFill="background1"/>
            <w:tcMar>
              <w:left w:w="115" w:type="dxa"/>
              <w:right w:w="115" w:type="dxa"/>
            </w:tcMar>
          </w:tcPr>
          <w:p w14:paraId="2C97B858" w14:textId="0C7A4AC1"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986F00">
              <w:rPr>
                <w:rFonts w:ascii="Arial" w:hAnsi="Arial" w:cs="Arial"/>
                <w:color w:val="000000"/>
                <w:sz w:val="18"/>
                <w:szCs w:val="18"/>
              </w:rPr>
              <w:t>2.1</w:t>
            </w:r>
            <w:r w:rsidRPr="008F78CA">
              <w:rPr>
                <w:rFonts w:ascii="Arial" w:hAnsi="Arial" w:cs="Arial"/>
                <w:color w:val="000000"/>
                <w:sz w:val="18"/>
                <w:szCs w:val="18"/>
              </w:rPr>
              <w:t>%</w:t>
            </w:r>
          </w:p>
        </w:tc>
      </w:tr>
      <w:tr w:rsidR="003F4653" w:rsidRPr="001A7423" w14:paraId="717DD538" w14:textId="77777777" w:rsidTr="00F82D45">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1A8AA671" w14:textId="447E0464" w:rsidR="003F4653" w:rsidRPr="001C710E" w:rsidRDefault="003F4653" w:rsidP="003F465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shrimp</w:t>
            </w:r>
          </w:p>
        </w:tc>
        <w:tc>
          <w:tcPr>
            <w:tcW w:w="1177" w:type="pct"/>
            <w:shd w:val="clear" w:color="auto" w:fill="D9D9D9" w:themeFill="background1" w:themeFillShade="D9"/>
            <w:tcMar>
              <w:left w:w="115" w:type="dxa"/>
              <w:right w:w="115" w:type="dxa"/>
            </w:tcMar>
          </w:tcPr>
          <w:p w14:paraId="541FF027" w14:textId="1F04C2DF" w:rsidR="003F4653" w:rsidRPr="006A6F7C"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066BE">
              <w:rPr>
                <w:rFonts w:ascii="Arial" w:hAnsi="Arial" w:cs="Arial"/>
                <w:color w:val="000000"/>
                <w:sz w:val="18"/>
                <w:szCs w:val="18"/>
              </w:rPr>
              <w:t>$</w:t>
            </w:r>
            <w:r w:rsidR="00986F00">
              <w:rPr>
                <w:rFonts w:ascii="Arial" w:hAnsi="Arial" w:cs="Arial"/>
                <w:color w:val="000000"/>
                <w:sz w:val="18"/>
                <w:szCs w:val="18"/>
              </w:rPr>
              <w:t>9.33</w:t>
            </w:r>
          </w:p>
        </w:tc>
        <w:tc>
          <w:tcPr>
            <w:tcW w:w="814" w:type="pct"/>
            <w:shd w:val="clear" w:color="auto" w:fill="D9D9D9" w:themeFill="background1" w:themeFillShade="D9"/>
            <w:tcMar>
              <w:left w:w="115" w:type="dxa"/>
              <w:right w:w="115" w:type="dxa"/>
            </w:tcMar>
          </w:tcPr>
          <w:p w14:paraId="684CDD5C" w14:textId="607D15F3" w:rsidR="003F4653" w:rsidRPr="006A6F7C"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986F00">
              <w:rPr>
                <w:rFonts w:ascii="Arial" w:hAnsi="Arial" w:cs="Arial"/>
                <w:color w:val="000000"/>
                <w:sz w:val="18"/>
                <w:szCs w:val="18"/>
              </w:rPr>
              <w:t>11.0</w:t>
            </w:r>
            <w:r w:rsidRPr="008F78CA">
              <w:rPr>
                <w:rFonts w:ascii="Arial" w:hAnsi="Arial" w:cs="Arial"/>
                <w:color w:val="000000"/>
                <w:sz w:val="18"/>
                <w:szCs w:val="18"/>
              </w:rPr>
              <w:t>%</w:t>
            </w:r>
          </w:p>
        </w:tc>
        <w:tc>
          <w:tcPr>
            <w:tcW w:w="880" w:type="pct"/>
            <w:shd w:val="clear" w:color="auto" w:fill="D9D9D9" w:themeFill="background1" w:themeFillShade="D9"/>
            <w:tcMar>
              <w:left w:w="115" w:type="dxa"/>
              <w:right w:w="115" w:type="dxa"/>
            </w:tcMar>
          </w:tcPr>
          <w:p w14:paraId="67D5006A" w14:textId="7DFEEADC" w:rsidR="003F4653" w:rsidRPr="006A6F7C"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986F00">
              <w:rPr>
                <w:rFonts w:ascii="Arial" w:hAnsi="Arial" w:cs="Arial"/>
                <w:color w:val="000000"/>
                <w:sz w:val="18"/>
                <w:szCs w:val="18"/>
              </w:rPr>
              <w:t>10.4</w:t>
            </w:r>
            <w:r w:rsidRPr="008F78CA">
              <w:rPr>
                <w:rFonts w:ascii="Arial" w:hAnsi="Arial" w:cs="Arial"/>
                <w:color w:val="000000"/>
                <w:sz w:val="18"/>
                <w:szCs w:val="18"/>
              </w:rPr>
              <w:t>%</w:t>
            </w:r>
          </w:p>
        </w:tc>
      </w:tr>
      <w:tr w:rsidR="003F4653" w:rsidRPr="001A7423" w14:paraId="4DCA14D1" w14:textId="77777777" w:rsidTr="00F82D45">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0369C912" w14:textId="1CDE292A" w:rsidR="003F4653" w:rsidRPr="001C710E" w:rsidRDefault="003F4653" w:rsidP="003F465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crab</w:t>
            </w:r>
          </w:p>
        </w:tc>
        <w:tc>
          <w:tcPr>
            <w:tcW w:w="1177" w:type="pct"/>
            <w:shd w:val="clear" w:color="auto" w:fill="auto"/>
            <w:tcMar>
              <w:left w:w="115" w:type="dxa"/>
              <w:right w:w="115" w:type="dxa"/>
            </w:tcMar>
          </w:tcPr>
          <w:p w14:paraId="0C53779B" w14:textId="1FEE9ED6"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066BE">
              <w:rPr>
                <w:rFonts w:ascii="Arial" w:hAnsi="Arial" w:cs="Arial"/>
                <w:color w:val="000000"/>
                <w:sz w:val="18"/>
                <w:szCs w:val="18"/>
              </w:rPr>
              <w:t>$</w:t>
            </w:r>
            <w:r w:rsidR="00986F00">
              <w:rPr>
                <w:rFonts w:ascii="Arial" w:hAnsi="Arial" w:cs="Arial"/>
                <w:color w:val="000000"/>
                <w:sz w:val="18"/>
                <w:szCs w:val="18"/>
              </w:rPr>
              <w:t>11.58</w:t>
            </w:r>
          </w:p>
        </w:tc>
        <w:tc>
          <w:tcPr>
            <w:tcW w:w="814" w:type="pct"/>
            <w:shd w:val="clear" w:color="auto" w:fill="auto"/>
            <w:tcMar>
              <w:left w:w="115" w:type="dxa"/>
              <w:right w:w="115" w:type="dxa"/>
            </w:tcMar>
          </w:tcPr>
          <w:p w14:paraId="79203465" w14:textId="7E12EFB9"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8F78CA">
              <w:rPr>
                <w:rFonts w:ascii="Arial" w:hAnsi="Arial" w:cs="Arial"/>
                <w:color w:val="000000"/>
                <w:sz w:val="18"/>
                <w:szCs w:val="18"/>
              </w:rPr>
              <w:t>+</w:t>
            </w:r>
            <w:r w:rsidR="00986F00">
              <w:rPr>
                <w:rFonts w:ascii="Arial" w:hAnsi="Arial" w:cs="Arial"/>
                <w:color w:val="000000"/>
                <w:sz w:val="18"/>
                <w:szCs w:val="18"/>
              </w:rPr>
              <w:t>7.2</w:t>
            </w:r>
            <w:r w:rsidRPr="008F78CA">
              <w:rPr>
                <w:rFonts w:ascii="Arial" w:hAnsi="Arial" w:cs="Arial"/>
                <w:color w:val="000000"/>
                <w:sz w:val="18"/>
                <w:szCs w:val="18"/>
              </w:rPr>
              <w:t>%</w:t>
            </w:r>
          </w:p>
        </w:tc>
        <w:tc>
          <w:tcPr>
            <w:tcW w:w="880" w:type="pct"/>
            <w:shd w:val="clear" w:color="auto" w:fill="auto"/>
            <w:tcMar>
              <w:left w:w="115" w:type="dxa"/>
              <w:right w:w="115" w:type="dxa"/>
            </w:tcMar>
          </w:tcPr>
          <w:p w14:paraId="638704A5" w14:textId="01C6DD23"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986F00">
              <w:rPr>
                <w:rFonts w:ascii="Arial" w:hAnsi="Arial" w:cs="Arial"/>
                <w:color w:val="000000"/>
                <w:sz w:val="18"/>
                <w:szCs w:val="18"/>
              </w:rPr>
              <w:t>28.1</w:t>
            </w:r>
            <w:r w:rsidRPr="008F78CA">
              <w:rPr>
                <w:rFonts w:ascii="Arial" w:hAnsi="Arial" w:cs="Arial"/>
                <w:color w:val="000000"/>
                <w:sz w:val="18"/>
                <w:szCs w:val="18"/>
              </w:rPr>
              <w:t>%</w:t>
            </w:r>
          </w:p>
        </w:tc>
      </w:tr>
      <w:tr w:rsidR="003F4653" w:rsidRPr="001A7423" w14:paraId="068D82E3" w14:textId="77777777" w:rsidTr="00F82D45">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5C8D7ED3" w14:textId="63D961EA" w:rsidR="003F4653" w:rsidRPr="001C710E" w:rsidRDefault="003F4653" w:rsidP="003F465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tcPr>
          <w:p w14:paraId="3B4749E2" w14:textId="76342941" w:rsidR="003F4653" w:rsidRPr="006A6F7C"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066BE">
              <w:rPr>
                <w:rFonts w:ascii="Arial" w:hAnsi="Arial" w:cs="Arial"/>
                <w:color w:val="000000"/>
                <w:sz w:val="18"/>
                <w:szCs w:val="18"/>
              </w:rPr>
              <w:t>$</w:t>
            </w:r>
            <w:r w:rsidR="00986F00">
              <w:rPr>
                <w:rFonts w:ascii="Arial" w:hAnsi="Arial" w:cs="Arial"/>
                <w:color w:val="000000"/>
                <w:sz w:val="18"/>
                <w:szCs w:val="18"/>
              </w:rPr>
              <w:t>11.48</w:t>
            </w:r>
          </w:p>
        </w:tc>
        <w:tc>
          <w:tcPr>
            <w:tcW w:w="814" w:type="pct"/>
            <w:shd w:val="clear" w:color="auto" w:fill="D9D9D9" w:themeFill="background1" w:themeFillShade="D9"/>
            <w:tcMar>
              <w:left w:w="115" w:type="dxa"/>
              <w:right w:w="115" w:type="dxa"/>
            </w:tcMar>
          </w:tcPr>
          <w:p w14:paraId="38EA25CA" w14:textId="454F3530" w:rsidR="003F4653" w:rsidRPr="006A6F7C"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8F78CA">
              <w:rPr>
                <w:rFonts w:ascii="Arial" w:hAnsi="Arial" w:cs="Arial"/>
                <w:color w:val="000000"/>
                <w:sz w:val="18"/>
                <w:szCs w:val="18"/>
              </w:rPr>
              <w:t>+</w:t>
            </w:r>
            <w:r w:rsidR="00986F00">
              <w:rPr>
                <w:rFonts w:ascii="Arial" w:hAnsi="Arial" w:cs="Arial"/>
                <w:color w:val="000000"/>
                <w:sz w:val="18"/>
                <w:szCs w:val="18"/>
              </w:rPr>
              <w:t>12.9</w:t>
            </w:r>
            <w:r w:rsidRPr="008F78CA">
              <w:rPr>
                <w:rFonts w:ascii="Arial" w:hAnsi="Arial" w:cs="Arial"/>
                <w:color w:val="000000"/>
                <w:sz w:val="18"/>
                <w:szCs w:val="18"/>
              </w:rPr>
              <w:t>%</w:t>
            </w:r>
          </w:p>
        </w:tc>
        <w:tc>
          <w:tcPr>
            <w:tcW w:w="880" w:type="pct"/>
            <w:shd w:val="clear" w:color="auto" w:fill="D9D9D9" w:themeFill="background1" w:themeFillShade="D9"/>
            <w:tcMar>
              <w:left w:w="115" w:type="dxa"/>
              <w:right w:w="115" w:type="dxa"/>
            </w:tcMar>
          </w:tcPr>
          <w:p w14:paraId="09B88330" w14:textId="1707673D" w:rsidR="003F4653" w:rsidRPr="006A6F7C"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986F00">
              <w:rPr>
                <w:rFonts w:ascii="Arial" w:hAnsi="Arial" w:cs="Arial"/>
                <w:color w:val="000000"/>
                <w:sz w:val="18"/>
                <w:szCs w:val="18"/>
              </w:rPr>
              <w:t>17.4</w:t>
            </w:r>
            <w:r w:rsidRPr="008F78CA">
              <w:rPr>
                <w:rFonts w:ascii="Arial" w:hAnsi="Arial" w:cs="Arial"/>
                <w:color w:val="000000"/>
                <w:sz w:val="18"/>
                <w:szCs w:val="18"/>
              </w:rPr>
              <w:t>%</w:t>
            </w:r>
          </w:p>
        </w:tc>
      </w:tr>
      <w:tr w:rsidR="003F4653" w:rsidRPr="001A7423" w14:paraId="2216A6B8" w14:textId="77777777" w:rsidTr="003F4653">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7DE2E5A6" w14:textId="030B466C" w:rsidR="003F4653" w:rsidRPr="001C710E" w:rsidRDefault="003F4653" w:rsidP="003F4653">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tcPr>
          <w:p w14:paraId="04911170" w14:textId="60518EFF"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066BE">
              <w:rPr>
                <w:rFonts w:ascii="Arial" w:hAnsi="Arial" w:cs="Arial"/>
                <w:color w:val="000000"/>
                <w:sz w:val="18"/>
                <w:szCs w:val="18"/>
              </w:rPr>
              <w:t>$</w:t>
            </w:r>
            <w:r w:rsidR="00986F00">
              <w:rPr>
                <w:rFonts w:ascii="Arial" w:hAnsi="Arial" w:cs="Arial"/>
                <w:color w:val="000000"/>
                <w:sz w:val="18"/>
                <w:szCs w:val="18"/>
              </w:rPr>
              <w:t>6.26</w:t>
            </w:r>
          </w:p>
        </w:tc>
        <w:tc>
          <w:tcPr>
            <w:tcW w:w="814" w:type="pct"/>
            <w:shd w:val="clear" w:color="auto" w:fill="FFFFFF" w:themeFill="background1"/>
            <w:tcMar>
              <w:left w:w="115" w:type="dxa"/>
              <w:right w:w="115" w:type="dxa"/>
            </w:tcMar>
          </w:tcPr>
          <w:p w14:paraId="4C569A2D" w14:textId="4B50D12D"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8F78CA">
              <w:rPr>
                <w:rFonts w:ascii="Arial" w:hAnsi="Arial" w:cs="Arial"/>
                <w:color w:val="000000"/>
                <w:sz w:val="18"/>
                <w:szCs w:val="18"/>
              </w:rPr>
              <w:t>+</w:t>
            </w:r>
            <w:r w:rsidR="00986F00">
              <w:rPr>
                <w:rFonts w:ascii="Arial" w:hAnsi="Arial" w:cs="Arial"/>
                <w:color w:val="000000"/>
                <w:sz w:val="18"/>
                <w:szCs w:val="18"/>
              </w:rPr>
              <w:t>6.2</w:t>
            </w:r>
            <w:r w:rsidRPr="008F78CA">
              <w:rPr>
                <w:rFonts w:ascii="Arial" w:hAnsi="Arial" w:cs="Arial"/>
                <w:color w:val="000000"/>
                <w:sz w:val="18"/>
                <w:szCs w:val="18"/>
              </w:rPr>
              <w:t>%</w:t>
            </w:r>
          </w:p>
        </w:tc>
        <w:tc>
          <w:tcPr>
            <w:tcW w:w="880" w:type="pct"/>
            <w:shd w:val="clear" w:color="auto" w:fill="FFFFFF" w:themeFill="background1"/>
            <w:tcMar>
              <w:left w:w="115" w:type="dxa"/>
              <w:right w:w="115" w:type="dxa"/>
            </w:tcMar>
          </w:tcPr>
          <w:p w14:paraId="31659BCC" w14:textId="20E7F22F" w:rsidR="003F4653" w:rsidRPr="006A6F7C" w:rsidRDefault="00986F00" w:rsidP="003F46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-0.4</w:t>
            </w:r>
            <w:r w:rsidR="003F4653" w:rsidRPr="008F78CA">
              <w:rPr>
                <w:rFonts w:ascii="Arial" w:hAnsi="Arial" w:cs="Arial"/>
                <w:color w:val="000000"/>
                <w:sz w:val="18"/>
                <w:szCs w:val="18"/>
              </w:rPr>
              <w:t>%</w:t>
            </w:r>
          </w:p>
        </w:tc>
      </w:tr>
    </w:tbl>
    <w:p w14:paraId="4890B49F" w14:textId="097DB589" w:rsidR="005F0766" w:rsidRDefault="00C246A2" w:rsidP="00C94CA8">
      <w:pPr>
        <w:pStyle w:val="NoSpacing"/>
        <w:rPr>
          <w:rFonts w:ascii="Arial" w:hAnsi="Arial" w:cs="Arial"/>
          <w:sz w:val="20"/>
          <w:szCs w:val="20"/>
        </w:rPr>
      </w:pPr>
      <w:bookmarkStart w:id="6" w:name="_Hlk116283646"/>
      <w:r>
        <w:rPr>
          <w:rFonts w:ascii="Arial" w:hAnsi="Arial" w:cs="Arial"/>
          <w:sz w:val="20"/>
          <w:szCs w:val="20"/>
        </w:rPr>
        <w:t>Fresh seafood price</w:t>
      </w:r>
      <w:r w:rsidR="00C84566">
        <w:rPr>
          <w:rFonts w:ascii="Arial" w:hAnsi="Arial" w:cs="Arial"/>
          <w:sz w:val="20"/>
          <w:szCs w:val="20"/>
        </w:rPr>
        <w:t xml:space="preserve"> movements</w:t>
      </w:r>
      <w:r>
        <w:rPr>
          <w:rFonts w:ascii="Arial" w:hAnsi="Arial" w:cs="Arial"/>
          <w:sz w:val="20"/>
          <w:szCs w:val="20"/>
        </w:rPr>
        <w:t xml:space="preserve"> varied widely at the species level. The average price per</w:t>
      </w:r>
      <w:r w:rsidR="003F4653">
        <w:rPr>
          <w:rFonts w:ascii="Arial" w:hAnsi="Arial" w:cs="Arial"/>
          <w:sz w:val="20"/>
          <w:szCs w:val="20"/>
        </w:rPr>
        <w:t xml:space="preserve"> pound for salmon rose </w:t>
      </w:r>
      <w:r w:rsidR="00C84566">
        <w:rPr>
          <w:rFonts w:ascii="Arial" w:hAnsi="Arial" w:cs="Arial"/>
          <w:sz w:val="20"/>
          <w:szCs w:val="20"/>
        </w:rPr>
        <w:t xml:space="preserve">a modest 3.6% </w:t>
      </w:r>
      <w:r w:rsidR="003F4653">
        <w:rPr>
          <w:rFonts w:ascii="Arial" w:hAnsi="Arial" w:cs="Arial"/>
          <w:sz w:val="20"/>
          <w:szCs w:val="20"/>
        </w:rPr>
        <w:t>to $</w:t>
      </w:r>
      <w:r w:rsidR="00C84566">
        <w:rPr>
          <w:rFonts w:ascii="Arial" w:hAnsi="Arial" w:cs="Arial"/>
          <w:sz w:val="20"/>
          <w:szCs w:val="20"/>
        </w:rPr>
        <w:t>11.73</w:t>
      </w:r>
      <w:r w:rsidR="003F4653">
        <w:rPr>
          <w:rFonts w:ascii="Arial" w:hAnsi="Arial" w:cs="Arial"/>
          <w:sz w:val="20"/>
          <w:szCs w:val="20"/>
        </w:rPr>
        <w:t xml:space="preserve"> while </w:t>
      </w:r>
      <w:r w:rsidR="00C84566">
        <w:rPr>
          <w:rFonts w:ascii="Arial" w:hAnsi="Arial" w:cs="Arial"/>
          <w:sz w:val="20"/>
          <w:szCs w:val="20"/>
        </w:rPr>
        <w:t>the average price per pound for shrimp and cod rose by double digits</w:t>
      </w:r>
      <w:r w:rsidR="001739AB">
        <w:rPr>
          <w:rFonts w:ascii="Arial" w:hAnsi="Arial" w:cs="Arial"/>
          <w:sz w:val="20"/>
          <w:szCs w:val="20"/>
        </w:rPr>
        <w:t>.</w:t>
      </w:r>
      <w:r>
        <w:rPr>
          <w:rFonts w:ascii="Arial" w:hAnsi="Arial" w:cs="Arial"/>
          <w:sz w:val="20"/>
          <w:szCs w:val="20"/>
        </w:rPr>
        <w:t xml:space="preserve"> </w:t>
      </w:r>
      <w:r w:rsidR="00C84566">
        <w:rPr>
          <w:rFonts w:ascii="Arial" w:hAnsi="Arial" w:cs="Arial"/>
          <w:sz w:val="20"/>
          <w:szCs w:val="20"/>
        </w:rPr>
        <w:t xml:space="preserve">Of the biggest sellers, tilapia had the lowest average price per pound, at $6.26. </w:t>
      </w:r>
      <w:r>
        <w:rPr>
          <w:rFonts w:ascii="Arial" w:hAnsi="Arial" w:cs="Arial"/>
          <w:sz w:val="20"/>
          <w:szCs w:val="20"/>
        </w:rPr>
        <w:t xml:space="preserve"> </w:t>
      </w:r>
      <w:r w:rsidR="001739AB">
        <w:rPr>
          <w:rFonts w:ascii="Arial" w:hAnsi="Arial" w:cs="Arial"/>
          <w:sz w:val="20"/>
          <w:szCs w:val="20"/>
        </w:rPr>
        <w:t xml:space="preserve"> </w:t>
      </w:r>
      <w:r w:rsidR="004636AA">
        <w:rPr>
          <w:rFonts w:ascii="Arial" w:hAnsi="Arial" w:cs="Arial"/>
          <w:sz w:val="20"/>
          <w:szCs w:val="20"/>
        </w:rPr>
        <w:t xml:space="preserve"> </w:t>
      </w:r>
    </w:p>
    <w:p w14:paraId="04F0A3C0" w14:textId="77777777" w:rsidR="005F0766" w:rsidRDefault="005F0766" w:rsidP="00C94CA8">
      <w:pPr>
        <w:pStyle w:val="NoSpacing"/>
        <w:rPr>
          <w:rFonts w:ascii="Arial" w:hAnsi="Arial" w:cs="Arial"/>
          <w:sz w:val="20"/>
          <w:szCs w:val="20"/>
        </w:rPr>
      </w:pPr>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28"/>
        <w:gridCol w:w="1555"/>
        <w:gridCol w:w="1076"/>
        <w:gridCol w:w="1160"/>
      </w:tblGrid>
      <w:tr w:rsidR="001739AB" w:rsidRPr="00DA3DDE" w14:paraId="44801AC1" w14:textId="77777777" w:rsidTr="003F4653">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17365D" w:themeFill="text2" w:themeFillShade="BF"/>
          </w:tcPr>
          <w:p w14:paraId="1C1B9CFC" w14:textId="385A5E0D" w:rsidR="001739AB" w:rsidRPr="00D5653C" w:rsidRDefault="001739AB" w:rsidP="003F4653">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r>
            <w:r w:rsidR="003F4653">
              <w:rPr>
                <w:rFonts w:ascii="Arial" w:hAnsi="Arial" w:cs="Arial"/>
                <w:color w:val="FFFFFF" w:themeColor="background1"/>
                <w:sz w:val="18"/>
                <w:szCs w:val="18"/>
              </w:rPr>
              <w:t>April</w:t>
            </w:r>
            <w:r w:rsidR="00F34BCF">
              <w:rPr>
                <w:rFonts w:ascii="Arial" w:hAnsi="Arial" w:cs="Arial"/>
                <w:color w:val="FFFFFF" w:themeColor="background1"/>
                <w:sz w:val="18"/>
                <w:szCs w:val="18"/>
              </w:rPr>
              <w:t xml:space="preserve"> </w:t>
            </w:r>
            <w:r>
              <w:rPr>
                <w:rFonts w:ascii="Arial" w:hAnsi="Arial" w:cs="Arial"/>
                <w:color w:val="FFFFFF" w:themeColor="background1"/>
                <w:sz w:val="18"/>
                <w:szCs w:val="18"/>
              </w:rPr>
              <w:t>2026</w:t>
            </w:r>
          </w:p>
        </w:tc>
        <w:tc>
          <w:tcPr>
            <w:tcW w:w="1175" w:type="pct"/>
            <w:shd w:val="clear" w:color="auto" w:fill="17365D" w:themeFill="text2" w:themeFillShade="BF"/>
            <w:tcMar>
              <w:left w:w="115" w:type="dxa"/>
              <w:right w:w="115" w:type="dxa"/>
            </w:tcMar>
          </w:tcPr>
          <w:p w14:paraId="6A622EDC" w14:textId="77777777" w:rsidR="001739AB" w:rsidRPr="00DA3DDE" w:rsidRDefault="001739AB" w:rsidP="003F46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shd w:val="clear" w:color="auto" w:fill="17365D" w:themeFill="text2" w:themeFillShade="BF"/>
            <w:tcMar>
              <w:left w:w="115" w:type="dxa"/>
              <w:right w:w="115" w:type="dxa"/>
            </w:tcMar>
          </w:tcPr>
          <w:p w14:paraId="53AC9A6B" w14:textId="77777777" w:rsidR="001739AB" w:rsidRPr="00DA3DDE" w:rsidRDefault="001739AB" w:rsidP="003F46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shd w:val="clear" w:color="auto" w:fill="17365D" w:themeFill="text2" w:themeFillShade="BF"/>
            <w:tcMar>
              <w:left w:w="115" w:type="dxa"/>
              <w:right w:w="115" w:type="dxa"/>
            </w:tcMar>
          </w:tcPr>
          <w:p w14:paraId="1FACD550" w14:textId="77777777" w:rsidR="001739AB" w:rsidRPr="00DA3DDE" w:rsidRDefault="001739AB" w:rsidP="003F46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3F4653" w:rsidRPr="006A6F7C" w14:paraId="15793B36" w14:textId="77777777" w:rsidTr="003F4653">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018F3CE7" w14:textId="77777777" w:rsidR="003F4653" w:rsidRPr="006A6F7C" w:rsidRDefault="003F4653" w:rsidP="003F4653">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tcPr>
          <w:p w14:paraId="6F2014C6" w14:textId="6E1821D8"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066BE">
              <w:rPr>
                <w:rFonts w:ascii="Arial" w:hAnsi="Arial" w:cs="Arial"/>
                <w:color w:val="000000"/>
                <w:sz w:val="18"/>
                <w:szCs w:val="18"/>
              </w:rPr>
              <w:t>$</w:t>
            </w:r>
            <w:r w:rsidR="00F53772">
              <w:rPr>
                <w:rFonts w:ascii="Arial" w:hAnsi="Arial" w:cs="Arial"/>
                <w:color w:val="000000"/>
                <w:sz w:val="18"/>
                <w:szCs w:val="18"/>
              </w:rPr>
              <w:t>9.11</w:t>
            </w:r>
          </w:p>
        </w:tc>
        <w:tc>
          <w:tcPr>
            <w:tcW w:w="813" w:type="pct"/>
            <w:shd w:val="clear" w:color="auto" w:fill="FFFFFF" w:themeFill="background1"/>
            <w:tcMar>
              <w:left w:w="115" w:type="dxa"/>
              <w:right w:w="115" w:type="dxa"/>
            </w:tcMar>
          </w:tcPr>
          <w:p w14:paraId="3CC9EC3D" w14:textId="4B18F684"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F53772">
              <w:rPr>
                <w:rFonts w:ascii="Arial" w:hAnsi="Arial" w:cs="Arial"/>
                <w:color w:val="000000"/>
                <w:sz w:val="18"/>
                <w:szCs w:val="18"/>
              </w:rPr>
              <w:t>20.2</w:t>
            </w:r>
            <w:r w:rsidRPr="008F78CA">
              <w:rPr>
                <w:rFonts w:ascii="Arial" w:hAnsi="Arial" w:cs="Arial"/>
                <w:color w:val="000000"/>
                <w:sz w:val="18"/>
                <w:szCs w:val="18"/>
              </w:rPr>
              <w:t>%</w:t>
            </w:r>
          </w:p>
        </w:tc>
        <w:tc>
          <w:tcPr>
            <w:tcW w:w="876" w:type="pct"/>
            <w:shd w:val="clear" w:color="auto" w:fill="FFFFFF" w:themeFill="background1"/>
            <w:tcMar>
              <w:left w:w="115" w:type="dxa"/>
              <w:right w:w="115" w:type="dxa"/>
            </w:tcMar>
          </w:tcPr>
          <w:p w14:paraId="2978AC5D" w14:textId="2CB93FFD"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F53772">
              <w:rPr>
                <w:rFonts w:ascii="Arial" w:hAnsi="Arial" w:cs="Arial"/>
                <w:color w:val="000000"/>
                <w:sz w:val="18"/>
                <w:szCs w:val="18"/>
              </w:rPr>
              <w:t>18.8</w:t>
            </w:r>
            <w:r w:rsidRPr="008F78CA">
              <w:rPr>
                <w:rFonts w:ascii="Arial" w:hAnsi="Arial" w:cs="Arial"/>
                <w:color w:val="000000"/>
                <w:sz w:val="18"/>
                <w:szCs w:val="18"/>
              </w:rPr>
              <w:t>%</w:t>
            </w:r>
          </w:p>
        </w:tc>
      </w:tr>
      <w:tr w:rsidR="003F4653" w:rsidRPr="006A6F7C" w14:paraId="70FF7601" w14:textId="77777777" w:rsidTr="003F4653">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66E14EC5" w14:textId="77777777" w:rsidR="003F4653" w:rsidRPr="006A6F7C" w:rsidRDefault="003F4653" w:rsidP="003F4653">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tcPr>
          <w:p w14:paraId="6C97D8B2" w14:textId="08C3A9DF" w:rsidR="003F4653" w:rsidRPr="006A6F7C"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066BE">
              <w:rPr>
                <w:rFonts w:ascii="Arial" w:hAnsi="Arial" w:cs="Arial"/>
                <w:color w:val="000000"/>
                <w:sz w:val="18"/>
                <w:szCs w:val="18"/>
              </w:rPr>
              <w:t>$</w:t>
            </w:r>
            <w:r w:rsidR="00F53772">
              <w:rPr>
                <w:rFonts w:ascii="Arial" w:hAnsi="Arial" w:cs="Arial"/>
                <w:color w:val="000000"/>
                <w:sz w:val="18"/>
                <w:szCs w:val="18"/>
              </w:rPr>
              <w:t>9.57</w:t>
            </w:r>
          </w:p>
        </w:tc>
        <w:tc>
          <w:tcPr>
            <w:tcW w:w="813" w:type="pct"/>
            <w:shd w:val="clear" w:color="auto" w:fill="D9D9D9" w:themeFill="background1" w:themeFillShade="D9"/>
            <w:tcMar>
              <w:left w:w="115" w:type="dxa"/>
              <w:right w:w="115" w:type="dxa"/>
            </w:tcMar>
          </w:tcPr>
          <w:p w14:paraId="18610B8B" w14:textId="7807F5F6" w:rsidR="003F4653" w:rsidRPr="006A6F7C"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F53772">
              <w:rPr>
                <w:rFonts w:ascii="Arial" w:hAnsi="Arial" w:cs="Arial"/>
                <w:color w:val="000000"/>
                <w:sz w:val="18"/>
                <w:szCs w:val="18"/>
              </w:rPr>
              <w:t>9.4</w:t>
            </w:r>
            <w:r w:rsidRPr="008F78CA">
              <w:rPr>
                <w:rFonts w:ascii="Arial" w:hAnsi="Arial" w:cs="Arial"/>
                <w:color w:val="000000"/>
                <w:sz w:val="18"/>
                <w:szCs w:val="18"/>
              </w:rPr>
              <w:t>%</w:t>
            </w:r>
          </w:p>
        </w:tc>
        <w:tc>
          <w:tcPr>
            <w:tcW w:w="876" w:type="pct"/>
            <w:shd w:val="clear" w:color="auto" w:fill="D9D9D9" w:themeFill="background1" w:themeFillShade="D9"/>
            <w:tcMar>
              <w:left w:w="115" w:type="dxa"/>
              <w:right w:w="115" w:type="dxa"/>
            </w:tcMar>
          </w:tcPr>
          <w:p w14:paraId="5E04961B" w14:textId="26EBD91A" w:rsidR="003F4653" w:rsidRPr="006A6F7C"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F53772">
              <w:rPr>
                <w:rFonts w:ascii="Arial" w:hAnsi="Arial" w:cs="Arial"/>
                <w:color w:val="000000"/>
                <w:sz w:val="18"/>
                <w:szCs w:val="18"/>
              </w:rPr>
              <w:t>6.4</w:t>
            </w:r>
            <w:r w:rsidRPr="008F78CA">
              <w:rPr>
                <w:rFonts w:ascii="Arial" w:hAnsi="Arial" w:cs="Arial"/>
                <w:color w:val="000000"/>
                <w:sz w:val="18"/>
                <w:szCs w:val="18"/>
              </w:rPr>
              <w:t>%</w:t>
            </w:r>
          </w:p>
        </w:tc>
      </w:tr>
      <w:tr w:rsidR="003F4653" w:rsidRPr="006A6F7C" w14:paraId="34F775F7" w14:textId="77777777" w:rsidTr="003F4653">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135EE94B" w14:textId="77777777" w:rsidR="003F4653" w:rsidRPr="006A6F7C" w:rsidRDefault="003F4653" w:rsidP="003F4653">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pollock</w:t>
            </w:r>
          </w:p>
        </w:tc>
        <w:tc>
          <w:tcPr>
            <w:tcW w:w="1175" w:type="pct"/>
            <w:shd w:val="clear" w:color="auto" w:fill="FFFFFF" w:themeFill="background1"/>
            <w:tcMar>
              <w:left w:w="115" w:type="dxa"/>
              <w:right w:w="115" w:type="dxa"/>
            </w:tcMar>
          </w:tcPr>
          <w:p w14:paraId="3B28AF7F" w14:textId="2910F909"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9066BE">
              <w:rPr>
                <w:rFonts w:ascii="Arial" w:hAnsi="Arial" w:cs="Arial"/>
                <w:color w:val="000000"/>
                <w:sz w:val="18"/>
                <w:szCs w:val="18"/>
              </w:rPr>
              <w:t>$</w:t>
            </w:r>
            <w:r w:rsidR="00C84566">
              <w:rPr>
                <w:rFonts w:ascii="Arial" w:hAnsi="Arial" w:cs="Arial"/>
                <w:color w:val="000000"/>
                <w:sz w:val="18"/>
                <w:szCs w:val="18"/>
              </w:rPr>
              <w:t>5.12</w:t>
            </w:r>
          </w:p>
        </w:tc>
        <w:tc>
          <w:tcPr>
            <w:tcW w:w="813" w:type="pct"/>
            <w:shd w:val="clear" w:color="auto" w:fill="FFFFFF" w:themeFill="background1"/>
            <w:tcMar>
              <w:left w:w="115" w:type="dxa"/>
              <w:right w:w="115" w:type="dxa"/>
            </w:tcMar>
          </w:tcPr>
          <w:p w14:paraId="22E17F65" w14:textId="04C7D662"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8F78CA">
              <w:rPr>
                <w:rFonts w:ascii="Arial" w:hAnsi="Arial" w:cs="Arial"/>
                <w:color w:val="000000"/>
                <w:sz w:val="18"/>
                <w:szCs w:val="18"/>
              </w:rPr>
              <w:t>+</w:t>
            </w:r>
            <w:r w:rsidR="00C84566">
              <w:rPr>
                <w:rFonts w:ascii="Arial" w:hAnsi="Arial" w:cs="Arial"/>
                <w:color w:val="000000"/>
                <w:sz w:val="18"/>
                <w:szCs w:val="18"/>
              </w:rPr>
              <w:t>11.0</w:t>
            </w:r>
            <w:r w:rsidRPr="008F78CA">
              <w:rPr>
                <w:rFonts w:ascii="Arial" w:hAnsi="Arial" w:cs="Arial"/>
                <w:color w:val="000000"/>
                <w:sz w:val="18"/>
                <w:szCs w:val="18"/>
              </w:rPr>
              <w:t>%</w:t>
            </w:r>
          </w:p>
        </w:tc>
        <w:tc>
          <w:tcPr>
            <w:tcW w:w="876" w:type="pct"/>
            <w:shd w:val="clear" w:color="auto" w:fill="FFFFFF" w:themeFill="background1"/>
            <w:tcMar>
              <w:left w:w="115" w:type="dxa"/>
              <w:right w:w="115" w:type="dxa"/>
            </w:tcMar>
          </w:tcPr>
          <w:p w14:paraId="3FE0FA84" w14:textId="1C6874AF"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8F78CA">
              <w:rPr>
                <w:rFonts w:ascii="Arial" w:hAnsi="Arial" w:cs="Arial"/>
                <w:color w:val="000000"/>
                <w:sz w:val="18"/>
                <w:szCs w:val="18"/>
              </w:rPr>
              <w:t>+</w:t>
            </w:r>
            <w:r w:rsidR="00C84566">
              <w:rPr>
                <w:rFonts w:ascii="Arial" w:hAnsi="Arial" w:cs="Arial"/>
                <w:color w:val="000000"/>
                <w:sz w:val="18"/>
                <w:szCs w:val="18"/>
              </w:rPr>
              <w:t>1.1</w:t>
            </w:r>
            <w:r w:rsidRPr="008F78CA">
              <w:rPr>
                <w:rFonts w:ascii="Arial" w:hAnsi="Arial" w:cs="Arial"/>
                <w:color w:val="000000"/>
                <w:sz w:val="18"/>
                <w:szCs w:val="18"/>
              </w:rPr>
              <w:t>%</w:t>
            </w:r>
          </w:p>
        </w:tc>
      </w:tr>
      <w:tr w:rsidR="003F4653" w:rsidRPr="006A6F7C" w14:paraId="120DB019" w14:textId="77777777" w:rsidTr="003F4653">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147560AC" w14:textId="77777777" w:rsidR="003F4653" w:rsidRPr="006A6F7C" w:rsidRDefault="003F4653" w:rsidP="003F4653">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tilapia</w:t>
            </w:r>
          </w:p>
        </w:tc>
        <w:tc>
          <w:tcPr>
            <w:tcW w:w="1175" w:type="pct"/>
            <w:shd w:val="clear" w:color="auto" w:fill="D9D9D9" w:themeFill="background1" w:themeFillShade="D9"/>
            <w:tcMar>
              <w:left w:w="115" w:type="dxa"/>
              <w:right w:w="115" w:type="dxa"/>
            </w:tcMar>
          </w:tcPr>
          <w:p w14:paraId="760A5516" w14:textId="3C15E49D" w:rsidR="003F4653" w:rsidRPr="006A6F7C"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9066BE">
              <w:rPr>
                <w:rFonts w:ascii="Arial" w:hAnsi="Arial" w:cs="Arial"/>
                <w:color w:val="000000"/>
                <w:sz w:val="18"/>
                <w:szCs w:val="18"/>
              </w:rPr>
              <w:t>$</w:t>
            </w:r>
            <w:r w:rsidR="00C84566">
              <w:rPr>
                <w:rFonts w:ascii="Arial" w:hAnsi="Arial" w:cs="Arial"/>
                <w:color w:val="000000"/>
                <w:sz w:val="18"/>
                <w:szCs w:val="18"/>
              </w:rPr>
              <w:t>5.36</w:t>
            </w:r>
          </w:p>
        </w:tc>
        <w:tc>
          <w:tcPr>
            <w:tcW w:w="813" w:type="pct"/>
            <w:shd w:val="clear" w:color="auto" w:fill="D9D9D9" w:themeFill="background1" w:themeFillShade="D9"/>
            <w:tcMar>
              <w:left w:w="115" w:type="dxa"/>
              <w:right w:w="115" w:type="dxa"/>
            </w:tcMar>
          </w:tcPr>
          <w:p w14:paraId="056F2C73" w14:textId="6A0CCB79" w:rsidR="003F4653" w:rsidRPr="006A6F7C"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8F78CA">
              <w:rPr>
                <w:rFonts w:ascii="Arial" w:hAnsi="Arial" w:cs="Arial"/>
                <w:color w:val="000000"/>
                <w:sz w:val="18"/>
                <w:szCs w:val="18"/>
              </w:rPr>
              <w:t>+</w:t>
            </w:r>
            <w:r w:rsidR="00C84566">
              <w:rPr>
                <w:rFonts w:ascii="Arial" w:hAnsi="Arial" w:cs="Arial"/>
                <w:color w:val="000000"/>
                <w:sz w:val="18"/>
                <w:szCs w:val="18"/>
              </w:rPr>
              <w:t>5.2</w:t>
            </w:r>
            <w:r w:rsidRPr="008F78CA">
              <w:rPr>
                <w:rFonts w:ascii="Arial" w:hAnsi="Arial" w:cs="Arial"/>
                <w:color w:val="000000"/>
                <w:sz w:val="18"/>
                <w:szCs w:val="18"/>
              </w:rPr>
              <w:t>%</w:t>
            </w:r>
          </w:p>
        </w:tc>
        <w:tc>
          <w:tcPr>
            <w:tcW w:w="876" w:type="pct"/>
            <w:shd w:val="clear" w:color="auto" w:fill="D9D9D9" w:themeFill="background1" w:themeFillShade="D9"/>
            <w:tcMar>
              <w:left w:w="115" w:type="dxa"/>
              <w:right w:w="115" w:type="dxa"/>
            </w:tcMar>
          </w:tcPr>
          <w:p w14:paraId="1508EA35" w14:textId="37EEB399" w:rsidR="003F4653" w:rsidRPr="006A6F7C"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8F78CA">
              <w:rPr>
                <w:rFonts w:ascii="Arial" w:hAnsi="Arial" w:cs="Arial"/>
                <w:color w:val="000000"/>
                <w:sz w:val="18"/>
                <w:szCs w:val="18"/>
              </w:rPr>
              <w:t>+</w:t>
            </w:r>
            <w:r w:rsidR="00C84566">
              <w:rPr>
                <w:rFonts w:ascii="Arial" w:hAnsi="Arial" w:cs="Arial"/>
                <w:color w:val="000000"/>
                <w:sz w:val="18"/>
                <w:szCs w:val="18"/>
              </w:rPr>
              <w:t>4.4</w:t>
            </w:r>
            <w:r w:rsidRPr="008F78CA">
              <w:rPr>
                <w:rFonts w:ascii="Arial" w:hAnsi="Arial" w:cs="Arial"/>
                <w:color w:val="000000"/>
                <w:sz w:val="18"/>
                <w:szCs w:val="18"/>
              </w:rPr>
              <w:t>%</w:t>
            </w:r>
          </w:p>
        </w:tc>
      </w:tr>
      <w:tr w:rsidR="003F4653" w:rsidRPr="006A6F7C" w14:paraId="427C2F4D" w14:textId="77777777" w:rsidTr="003F4653">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32297571" w14:textId="77777777" w:rsidR="003F4653" w:rsidRPr="006A6F7C" w:rsidRDefault="003F4653" w:rsidP="003F4653">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crab</w:t>
            </w:r>
          </w:p>
        </w:tc>
        <w:tc>
          <w:tcPr>
            <w:tcW w:w="1175" w:type="pct"/>
            <w:shd w:val="clear" w:color="auto" w:fill="FFFFFF" w:themeFill="background1"/>
            <w:tcMar>
              <w:left w:w="115" w:type="dxa"/>
              <w:right w:w="115" w:type="dxa"/>
            </w:tcMar>
          </w:tcPr>
          <w:p w14:paraId="7B8B3907" w14:textId="560D698D"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9066BE">
              <w:rPr>
                <w:rFonts w:ascii="Arial" w:hAnsi="Arial" w:cs="Arial"/>
                <w:color w:val="000000"/>
                <w:sz w:val="18"/>
                <w:szCs w:val="18"/>
              </w:rPr>
              <w:t>$</w:t>
            </w:r>
            <w:r w:rsidR="00C84566">
              <w:rPr>
                <w:rFonts w:ascii="Arial" w:hAnsi="Arial" w:cs="Arial"/>
                <w:color w:val="000000"/>
                <w:sz w:val="18"/>
                <w:szCs w:val="18"/>
              </w:rPr>
              <w:t>13.58</w:t>
            </w:r>
          </w:p>
        </w:tc>
        <w:tc>
          <w:tcPr>
            <w:tcW w:w="813" w:type="pct"/>
            <w:shd w:val="clear" w:color="auto" w:fill="FFFFFF" w:themeFill="background1"/>
            <w:tcMar>
              <w:left w:w="115" w:type="dxa"/>
              <w:right w:w="115" w:type="dxa"/>
            </w:tcMar>
          </w:tcPr>
          <w:p w14:paraId="2717BE9A" w14:textId="68B74BC3"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8F78CA">
              <w:rPr>
                <w:rFonts w:ascii="Arial" w:hAnsi="Arial" w:cs="Arial"/>
                <w:color w:val="000000"/>
                <w:sz w:val="18"/>
                <w:szCs w:val="18"/>
              </w:rPr>
              <w:t>+</w:t>
            </w:r>
            <w:r w:rsidR="00C84566">
              <w:rPr>
                <w:rFonts w:ascii="Arial" w:hAnsi="Arial" w:cs="Arial"/>
                <w:color w:val="000000"/>
                <w:sz w:val="18"/>
                <w:szCs w:val="18"/>
              </w:rPr>
              <w:t>11.2</w:t>
            </w:r>
            <w:r w:rsidRPr="008F78CA">
              <w:rPr>
                <w:rFonts w:ascii="Arial" w:hAnsi="Arial" w:cs="Arial"/>
                <w:color w:val="000000"/>
                <w:sz w:val="18"/>
                <w:szCs w:val="18"/>
              </w:rPr>
              <w:t>%</w:t>
            </w:r>
          </w:p>
        </w:tc>
        <w:tc>
          <w:tcPr>
            <w:tcW w:w="876" w:type="pct"/>
            <w:shd w:val="clear" w:color="auto" w:fill="FFFFFF" w:themeFill="background1"/>
            <w:tcMar>
              <w:left w:w="115" w:type="dxa"/>
              <w:right w:w="115" w:type="dxa"/>
            </w:tcMar>
          </w:tcPr>
          <w:p w14:paraId="54F7D390" w14:textId="4AAE2892" w:rsidR="003F4653" w:rsidRPr="006A6F7C"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8F78CA">
              <w:rPr>
                <w:rFonts w:ascii="Arial" w:hAnsi="Arial" w:cs="Arial"/>
                <w:color w:val="000000"/>
                <w:sz w:val="18"/>
                <w:szCs w:val="18"/>
              </w:rPr>
              <w:t>+</w:t>
            </w:r>
            <w:r w:rsidR="00C84566">
              <w:rPr>
                <w:rFonts w:ascii="Arial" w:hAnsi="Arial" w:cs="Arial"/>
                <w:color w:val="000000"/>
                <w:sz w:val="18"/>
                <w:szCs w:val="18"/>
              </w:rPr>
              <w:t>16.9</w:t>
            </w:r>
            <w:r w:rsidRPr="008F78CA">
              <w:rPr>
                <w:rFonts w:ascii="Arial" w:hAnsi="Arial" w:cs="Arial"/>
                <w:color w:val="000000"/>
                <w:sz w:val="18"/>
                <w:szCs w:val="18"/>
              </w:rPr>
              <w:t>%</w:t>
            </w:r>
          </w:p>
        </w:tc>
      </w:tr>
    </w:tbl>
    <w:p w14:paraId="18412555" w14:textId="4A1D4F10" w:rsidR="00830CBF" w:rsidRDefault="00C246A2" w:rsidP="00E35BCC">
      <w:pPr>
        <w:pStyle w:val="NoSpacing"/>
        <w:ind w:right="6941"/>
        <w:rPr>
          <w:rFonts w:ascii="Arial" w:hAnsi="Arial" w:cs="Arial"/>
          <w:sz w:val="20"/>
          <w:szCs w:val="20"/>
        </w:rPr>
      </w:pPr>
      <w:r>
        <w:rPr>
          <w:rFonts w:ascii="Arial" w:hAnsi="Arial" w:cs="Arial"/>
          <w:sz w:val="20"/>
          <w:szCs w:val="20"/>
        </w:rPr>
        <w:t xml:space="preserve">Frozen seafood prices also fluctuated substantially. </w:t>
      </w:r>
      <w:r w:rsidR="00E91F41">
        <w:rPr>
          <w:rFonts w:ascii="Arial" w:hAnsi="Arial" w:cs="Arial"/>
          <w:sz w:val="20"/>
          <w:szCs w:val="20"/>
        </w:rPr>
        <w:t>S</w:t>
      </w:r>
      <w:r>
        <w:rPr>
          <w:rFonts w:ascii="Arial" w:hAnsi="Arial" w:cs="Arial"/>
          <w:sz w:val="20"/>
          <w:szCs w:val="20"/>
        </w:rPr>
        <w:t xml:space="preserve">hrimp prices increased by </w:t>
      </w:r>
      <w:r w:rsidR="00C84566">
        <w:rPr>
          <w:rFonts w:ascii="Arial" w:hAnsi="Arial" w:cs="Arial"/>
          <w:sz w:val="20"/>
          <w:szCs w:val="20"/>
        </w:rPr>
        <w:t>20.2%</w:t>
      </w:r>
      <w:r>
        <w:rPr>
          <w:rFonts w:ascii="Arial" w:hAnsi="Arial" w:cs="Arial"/>
          <w:sz w:val="20"/>
          <w:szCs w:val="20"/>
        </w:rPr>
        <w:t xml:space="preserve"> in comparison to </w:t>
      </w:r>
      <w:r w:rsidR="003F4653">
        <w:rPr>
          <w:rFonts w:ascii="Arial" w:hAnsi="Arial" w:cs="Arial"/>
          <w:sz w:val="20"/>
          <w:szCs w:val="20"/>
        </w:rPr>
        <w:t>April</w:t>
      </w:r>
      <w:r>
        <w:rPr>
          <w:rFonts w:ascii="Arial" w:hAnsi="Arial" w:cs="Arial"/>
          <w:sz w:val="20"/>
          <w:szCs w:val="20"/>
        </w:rPr>
        <w:t xml:space="preserve"> 2025</w:t>
      </w:r>
      <w:r w:rsidR="001739AB">
        <w:rPr>
          <w:rFonts w:ascii="Arial" w:hAnsi="Arial" w:cs="Arial"/>
          <w:sz w:val="20"/>
          <w:szCs w:val="20"/>
        </w:rPr>
        <w:t>.</w:t>
      </w:r>
      <w:r>
        <w:rPr>
          <w:rFonts w:ascii="Arial" w:hAnsi="Arial" w:cs="Arial"/>
          <w:sz w:val="20"/>
          <w:szCs w:val="20"/>
        </w:rPr>
        <w:t xml:space="preserve"> </w:t>
      </w:r>
      <w:r w:rsidR="00C84566">
        <w:rPr>
          <w:rFonts w:ascii="Arial" w:hAnsi="Arial" w:cs="Arial"/>
          <w:sz w:val="20"/>
          <w:szCs w:val="20"/>
        </w:rPr>
        <w:t>Pollock and crab also had double digit inflation</w:t>
      </w:r>
      <w:r>
        <w:rPr>
          <w:rFonts w:ascii="Arial" w:hAnsi="Arial" w:cs="Arial"/>
          <w:sz w:val="20"/>
          <w:szCs w:val="20"/>
        </w:rPr>
        <w:t xml:space="preserve">. </w:t>
      </w:r>
    </w:p>
    <w:p w14:paraId="0A92655C" w14:textId="2E757130" w:rsidR="00D12080" w:rsidRPr="00F07831" w:rsidRDefault="00D12080" w:rsidP="00D12080">
      <w:pPr>
        <w:pStyle w:val="NoSpacing"/>
        <w:rPr>
          <w:rFonts w:ascii="Arial" w:hAnsi="Arial" w:cs="Arial"/>
          <w:sz w:val="8"/>
          <w:szCs w:val="8"/>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Circana,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6"/>
    <w:p w14:paraId="77B5C020" w14:textId="77777777" w:rsidR="006416E7" w:rsidRDefault="006416E7"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37018476" w14:textId="3D40E215" w:rsidR="00787CFD" w:rsidRDefault="00787CFD" w:rsidP="00787CFD">
      <w:pPr>
        <w:pStyle w:val="NoSpacing"/>
        <w:rPr>
          <w:rFonts w:ascii="Arial" w:hAnsi="Arial" w:cs="Arial"/>
          <w:sz w:val="20"/>
          <w:szCs w:val="20"/>
        </w:rPr>
      </w:pPr>
      <w:bookmarkStart w:id="7" w:name="_Hlk92610860"/>
      <w:r>
        <w:rPr>
          <w:rFonts w:ascii="Arial" w:hAnsi="Arial" w:cs="Arial"/>
          <w:sz w:val="20"/>
          <w:szCs w:val="20"/>
        </w:rPr>
        <w:t xml:space="preserve">Seafood is the most heavily Lent-impacted department. April counted one Lent-impacted week in 2025 going up against the Easter holiday and another going up against an everyday demand week in 2026. This heavily skewed the April results downward. </w:t>
      </w:r>
    </w:p>
    <w:p w14:paraId="504383E6" w14:textId="77777777" w:rsidR="00787CFD" w:rsidRDefault="00787CFD" w:rsidP="00787CFD">
      <w:pPr>
        <w:pStyle w:val="NoSpacing"/>
        <w:rPr>
          <w:rFonts w:ascii="Arial" w:hAnsi="Arial" w:cs="Arial"/>
          <w:sz w:val="20"/>
          <w:szCs w:val="20"/>
        </w:rPr>
      </w:pPr>
    </w:p>
    <w:p w14:paraId="4927F103" w14:textId="77777777" w:rsidR="00787CFD" w:rsidRDefault="00787CFD" w:rsidP="00787CFD">
      <w:pPr>
        <w:pStyle w:val="NoSpacing"/>
        <w:rPr>
          <w:rFonts w:ascii="Arial" w:hAnsi="Arial" w:cs="Arial"/>
          <w:sz w:val="20"/>
          <w:szCs w:val="20"/>
        </w:rPr>
      </w:pPr>
      <w:r w:rsidRPr="00567703">
        <w:rPr>
          <w:noProof/>
          <w:lang w:val="nl-NL" w:eastAsia="nl-NL"/>
        </w:rPr>
        <w:drawing>
          <wp:inline distT="0" distB="0" distL="0" distR="0" wp14:anchorId="22B9269A" wp14:editId="340AB4E4">
            <wp:extent cx="6649720" cy="545465"/>
            <wp:effectExtent l="0" t="0" r="0" b="6985"/>
            <wp:docPr id="1677910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9720" cy="545465"/>
                    </a:xfrm>
                    <a:prstGeom prst="rect">
                      <a:avLst/>
                    </a:prstGeom>
                    <a:noFill/>
                    <a:ln>
                      <a:noFill/>
                    </a:ln>
                  </pic:spPr>
                </pic:pic>
              </a:graphicData>
            </a:graphic>
          </wp:inline>
        </w:drawing>
      </w:r>
    </w:p>
    <w:p w14:paraId="1C55CD7E" w14:textId="77777777" w:rsidR="00787CFD" w:rsidRDefault="00787CFD" w:rsidP="00787CFD">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Source: Circana, Integrated Fresh, Total U.S., MULO+</w:t>
      </w:r>
    </w:p>
    <w:p w14:paraId="55CF4355" w14:textId="77777777" w:rsidR="00787CFD" w:rsidRDefault="00787CFD" w:rsidP="00BB587C">
      <w:pPr>
        <w:pStyle w:val="NoSpacing"/>
        <w:rPr>
          <w:rFonts w:ascii="Arial" w:hAnsi="Arial" w:cs="Arial"/>
          <w:sz w:val="20"/>
        </w:rPr>
      </w:pPr>
    </w:p>
    <w:p w14:paraId="76F76181" w14:textId="3F865D1A" w:rsidR="00340297" w:rsidRDefault="00340297" w:rsidP="00BB587C">
      <w:pPr>
        <w:pStyle w:val="NoSpacing"/>
        <w:rPr>
          <w:rFonts w:ascii="Arial" w:hAnsi="Arial" w:cs="Arial"/>
          <w:sz w:val="20"/>
        </w:rPr>
      </w:pPr>
      <w:r>
        <w:rPr>
          <w:rFonts w:ascii="Arial" w:hAnsi="Arial" w:cs="Arial"/>
          <w:sz w:val="20"/>
        </w:rPr>
        <w:t xml:space="preserve">April’s sales results reflected the tough comp scenario. Demand was down in refrigerated/fresh and frozen seafood. Frozen shouldered most of the demand pressure, with April pound sales down 12.7% compared with April 2025. Fresh seafood volume sales were down by about 4%. </w:t>
      </w:r>
    </w:p>
    <w:p w14:paraId="6421F982" w14:textId="77777777" w:rsidR="00340297" w:rsidRDefault="00340297" w:rsidP="00BB587C">
      <w:pPr>
        <w:pStyle w:val="NoSpacing"/>
        <w:rPr>
          <w:rFonts w:ascii="Arial" w:hAnsi="Arial" w:cs="Arial"/>
          <w:sz w:val="20"/>
        </w:rPr>
      </w:pPr>
    </w:p>
    <w:p w14:paraId="3DAE572F" w14:textId="13AB5415" w:rsidR="00340297" w:rsidRDefault="00340297" w:rsidP="00BB587C">
      <w:pPr>
        <w:pStyle w:val="NoSpacing"/>
        <w:rPr>
          <w:rFonts w:ascii="Arial" w:hAnsi="Arial" w:cs="Arial"/>
          <w:sz w:val="20"/>
        </w:rPr>
      </w:pPr>
      <w:r>
        <w:rPr>
          <w:rFonts w:ascii="Arial" w:hAnsi="Arial" w:cs="Arial"/>
          <w:sz w:val="20"/>
        </w:rPr>
        <w:t xml:space="preserve">Despite double-digit inflation, shelf-stable seafood, which includes cans and pouches, was able to keep pound sales stable while unit sales grew by 2.7%. </w:t>
      </w:r>
    </w:p>
    <w:p w14:paraId="4F28DE8A" w14:textId="77777777" w:rsidR="00340297" w:rsidRDefault="00340297" w:rsidP="00BB587C">
      <w:pPr>
        <w:pStyle w:val="NoSpacing"/>
        <w:rPr>
          <w:rFonts w:ascii="Arial" w:hAnsi="Arial" w:cs="Arial"/>
          <w:sz w:val="20"/>
        </w:rPr>
      </w:pPr>
    </w:p>
    <w:p w14:paraId="6D47CEE6" w14:textId="77777777" w:rsidR="00AD1105" w:rsidRPr="006F697A" w:rsidRDefault="00AD1105" w:rsidP="00BB587C">
      <w:pPr>
        <w:pStyle w:val="NoSpacing"/>
        <w:rPr>
          <w:rFonts w:ascii="Arial" w:hAnsi="Arial" w:cs="Arial"/>
          <w:color w:val="7F7F7F" w:themeColor="text1" w:themeTint="80"/>
          <w:sz w:val="8"/>
          <w:szCs w:val="12"/>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1890"/>
        <w:gridCol w:w="990"/>
        <w:gridCol w:w="853"/>
        <w:gridCol w:w="913"/>
        <w:gridCol w:w="883"/>
        <w:gridCol w:w="882"/>
        <w:gridCol w:w="973"/>
        <w:gridCol w:w="973"/>
        <w:gridCol w:w="973"/>
        <w:gridCol w:w="973"/>
      </w:tblGrid>
      <w:tr w:rsidR="00C853F3" w:rsidRPr="00BC7615" w14:paraId="4583C2C6" w14:textId="77777777" w:rsidTr="00E35BC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521" w:type="dxa"/>
            <w:gridSpan w:val="5"/>
            <w:tcBorders>
              <w:top w:val="none" w:sz="0" w:space="0" w:color="auto"/>
              <w:bottom w:val="none" w:sz="0" w:space="0" w:color="auto"/>
              <w:right w:val="none" w:sz="0" w:space="0" w:color="auto"/>
            </w:tcBorders>
            <w:shd w:val="clear" w:color="auto" w:fill="17365D" w:themeFill="text2" w:themeFillShade="BF"/>
          </w:tcPr>
          <w:p w14:paraId="653EE211" w14:textId="2F69A581" w:rsidR="00C853F3" w:rsidRPr="00BC7615" w:rsidRDefault="003F4653"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April</w:t>
            </w:r>
            <w:r w:rsidR="00F34BCF">
              <w:rPr>
                <w:rFonts w:ascii="Arial" w:hAnsi="Arial" w:cs="Arial"/>
                <w:color w:val="FFFFFF" w:themeColor="background1"/>
                <w:sz w:val="18"/>
                <w:szCs w:val="18"/>
              </w:rPr>
              <w:t xml:space="preserve"> </w:t>
            </w:r>
            <w:r w:rsidR="006A6067">
              <w:rPr>
                <w:rFonts w:ascii="Arial" w:hAnsi="Arial" w:cs="Arial"/>
                <w:color w:val="FFFFFF" w:themeColor="background1"/>
                <w:sz w:val="18"/>
                <w:szCs w:val="18"/>
              </w:rPr>
              <w:t>2026</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4356277B" w:rsidR="00C853F3" w:rsidRPr="00BC7615" w:rsidRDefault="00407D9A"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 xml:space="preserve">Last 52 weeks </w:t>
            </w:r>
          </w:p>
        </w:tc>
      </w:tr>
      <w:tr w:rsidR="00577D24" w:rsidRPr="00BC7615" w14:paraId="1B2E4D0E" w14:textId="77777777" w:rsidTr="00E35BC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99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 xml:space="preserve">vs.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3F4653" w:rsidRPr="001C710E" w14:paraId="33FBC25F" w14:textId="77777777" w:rsidTr="003F4653">
        <w:trPr>
          <w:trHeight w:val="113"/>
        </w:trPr>
        <w:tc>
          <w:tcPr>
            <w:cnfStyle w:val="001000000000" w:firstRow="0" w:lastRow="0" w:firstColumn="1" w:lastColumn="0" w:oddVBand="0" w:evenVBand="0" w:oddHBand="0" w:evenHBand="0" w:firstRowFirstColumn="0" w:firstRowLastColumn="0" w:lastRowFirstColumn="0" w:lastRowLastColumn="0"/>
            <w:tcW w:w="1890" w:type="dxa"/>
            <w:noWrap/>
          </w:tcPr>
          <w:p w14:paraId="5A4EE10F" w14:textId="53228874" w:rsidR="003F4653" w:rsidRPr="00E35BCC" w:rsidRDefault="003F4653" w:rsidP="003F4653">
            <w:pPr>
              <w:rPr>
                <w:rFonts w:ascii="Arial" w:eastAsia="Times New Roman" w:hAnsi="Arial" w:cs="Arial"/>
                <w:b w:val="0"/>
                <w:color w:val="000000" w:themeColor="text1"/>
                <w:sz w:val="18"/>
                <w:szCs w:val="18"/>
              </w:rPr>
            </w:pPr>
            <w:r w:rsidRPr="00E35BCC">
              <w:rPr>
                <w:rFonts w:ascii="Arial" w:eastAsia="Times New Roman" w:hAnsi="Arial" w:cs="Arial"/>
                <w:b w:val="0"/>
                <w:color w:val="000000" w:themeColor="text1"/>
                <w:sz w:val="18"/>
                <w:szCs w:val="18"/>
              </w:rPr>
              <w:t>Fresh seafood</w:t>
            </w:r>
          </w:p>
        </w:tc>
        <w:tc>
          <w:tcPr>
            <w:tcW w:w="990" w:type="dxa"/>
          </w:tcPr>
          <w:p w14:paraId="1F1CE786" w14:textId="6DB2920D" w:rsidR="003F4653" w:rsidRPr="00E35BCC" w:rsidRDefault="003F4653" w:rsidP="003F465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D4973">
              <w:rPr>
                <w:rFonts w:ascii="Arial" w:hAnsi="Arial" w:cs="Arial"/>
                <w:color w:val="000000"/>
                <w:sz w:val="18"/>
                <w:szCs w:val="18"/>
              </w:rPr>
              <w:t>$</w:t>
            </w:r>
            <w:r w:rsidR="00986F00">
              <w:rPr>
                <w:rFonts w:ascii="Arial" w:hAnsi="Arial" w:cs="Arial"/>
                <w:color w:val="000000"/>
                <w:sz w:val="18"/>
                <w:szCs w:val="18"/>
              </w:rPr>
              <w:t>678.8</w:t>
            </w:r>
            <w:r w:rsidRPr="005D4973">
              <w:rPr>
                <w:rFonts w:ascii="Arial" w:hAnsi="Arial" w:cs="Arial"/>
                <w:color w:val="000000"/>
                <w:sz w:val="18"/>
                <w:szCs w:val="18"/>
              </w:rPr>
              <w:t>M</w:t>
            </w:r>
          </w:p>
        </w:tc>
        <w:tc>
          <w:tcPr>
            <w:tcW w:w="853" w:type="dxa"/>
          </w:tcPr>
          <w:p w14:paraId="32EAC8D0" w14:textId="25F46A0B" w:rsidR="003F4653" w:rsidRPr="00E35BCC" w:rsidRDefault="003F4653" w:rsidP="003F46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6B3A96">
              <w:rPr>
                <w:rFonts w:ascii="Arial" w:hAnsi="Arial" w:cs="Arial"/>
                <w:color w:val="000000"/>
                <w:sz w:val="18"/>
                <w:szCs w:val="18"/>
              </w:rPr>
              <w:t>+</w:t>
            </w:r>
            <w:r w:rsidR="00986F00">
              <w:rPr>
                <w:rFonts w:ascii="Arial" w:hAnsi="Arial" w:cs="Arial"/>
                <w:color w:val="000000"/>
                <w:sz w:val="18"/>
                <w:szCs w:val="18"/>
              </w:rPr>
              <w:t>0.6</w:t>
            </w:r>
            <w:r w:rsidRPr="006B3A96">
              <w:rPr>
                <w:rFonts w:ascii="Arial" w:hAnsi="Arial" w:cs="Arial"/>
                <w:color w:val="000000"/>
                <w:sz w:val="18"/>
                <w:szCs w:val="18"/>
              </w:rPr>
              <w:t>%</w:t>
            </w:r>
          </w:p>
        </w:tc>
        <w:tc>
          <w:tcPr>
            <w:tcW w:w="913" w:type="dxa"/>
          </w:tcPr>
          <w:p w14:paraId="742691D3" w14:textId="17F1A4BE" w:rsidR="003F4653" w:rsidRPr="00E35BCC" w:rsidRDefault="003F4653" w:rsidP="003F465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B3A96">
              <w:rPr>
                <w:rFonts w:ascii="Arial" w:hAnsi="Arial" w:cs="Arial"/>
                <w:color w:val="000000"/>
                <w:sz w:val="18"/>
                <w:szCs w:val="18"/>
              </w:rPr>
              <w:t>+</w:t>
            </w:r>
            <w:r w:rsidR="00986F00">
              <w:rPr>
                <w:rFonts w:ascii="Arial" w:hAnsi="Arial" w:cs="Arial"/>
                <w:color w:val="000000"/>
                <w:sz w:val="18"/>
                <w:szCs w:val="18"/>
              </w:rPr>
              <w:t>8.4</w:t>
            </w:r>
            <w:r w:rsidRPr="006B3A96">
              <w:rPr>
                <w:rFonts w:ascii="Arial" w:hAnsi="Arial" w:cs="Arial"/>
                <w:color w:val="000000"/>
                <w:sz w:val="18"/>
                <w:szCs w:val="18"/>
              </w:rPr>
              <w:t>%</w:t>
            </w:r>
          </w:p>
        </w:tc>
        <w:tc>
          <w:tcPr>
            <w:tcW w:w="883" w:type="dxa"/>
          </w:tcPr>
          <w:p w14:paraId="06B549B0" w14:textId="245C48A1" w:rsidR="003F4653" w:rsidRPr="00E35BCC" w:rsidRDefault="003F4653" w:rsidP="003F465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9570B">
              <w:rPr>
                <w:rFonts w:ascii="Arial" w:hAnsi="Arial" w:cs="Arial"/>
                <w:color w:val="000000"/>
                <w:sz w:val="18"/>
                <w:szCs w:val="18"/>
              </w:rPr>
              <w:t>-</w:t>
            </w:r>
            <w:r w:rsidR="00986F00">
              <w:rPr>
                <w:rFonts w:ascii="Arial" w:hAnsi="Arial" w:cs="Arial"/>
                <w:color w:val="000000"/>
                <w:sz w:val="18"/>
                <w:szCs w:val="18"/>
              </w:rPr>
              <w:t>3.9</w:t>
            </w:r>
            <w:r w:rsidRPr="0049570B">
              <w:rPr>
                <w:rFonts w:ascii="Arial" w:hAnsi="Arial" w:cs="Arial"/>
                <w:color w:val="000000"/>
                <w:sz w:val="18"/>
                <w:szCs w:val="18"/>
              </w:rPr>
              <w:t>%</w:t>
            </w:r>
          </w:p>
        </w:tc>
        <w:tc>
          <w:tcPr>
            <w:tcW w:w="882" w:type="dxa"/>
            <w:tcBorders>
              <w:right w:val="single" w:sz="4" w:space="0" w:color="31849B" w:themeColor="accent5" w:themeShade="BF"/>
            </w:tcBorders>
          </w:tcPr>
          <w:p w14:paraId="73D88621" w14:textId="734A81D4" w:rsidR="003F4653" w:rsidRPr="00E35BCC" w:rsidRDefault="00986F00" w:rsidP="003F465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+4.1</w:t>
            </w:r>
            <w:r w:rsidR="003F4653" w:rsidRPr="0049570B">
              <w:rPr>
                <w:rFonts w:ascii="Arial" w:hAnsi="Arial" w:cs="Arial"/>
                <w:color w:val="000000"/>
                <w:sz w:val="18"/>
                <w:szCs w:val="18"/>
              </w:rPr>
              <w:t>%</w:t>
            </w:r>
          </w:p>
        </w:tc>
        <w:tc>
          <w:tcPr>
            <w:tcW w:w="973" w:type="dxa"/>
            <w:tcBorders>
              <w:left w:val="single" w:sz="4" w:space="0" w:color="31849B" w:themeColor="accent5" w:themeShade="BF"/>
            </w:tcBorders>
          </w:tcPr>
          <w:p w14:paraId="549E8BBC" w14:textId="17F4E009" w:rsidR="003F4653" w:rsidRPr="00E35BCC" w:rsidRDefault="003F4653" w:rsidP="003F465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C507F">
              <w:rPr>
                <w:rFonts w:ascii="Arial" w:hAnsi="Arial" w:cs="Arial"/>
                <w:color w:val="000000"/>
                <w:sz w:val="18"/>
                <w:szCs w:val="18"/>
              </w:rPr>
              <w:t>+</w:t>
            </w:r>
            <w:r w:rsidR="00986F00">
              <w:rPr>
                <w:rFonts w:ascii="Arial" w:hAnsi="Arial" w:cs="Arial"/>
                <w:color w:val="000000"/>
                <w:sz w:val="18"/>
                <w:szCs w:val="18"/>
              </w:rPr>
              <w:t>2.3</w:t>
            </w:r>
            <w:r w:rsidRPr="002C507F">
              <w:rPr>
                <w:rFonts w:ascii="Arial" w:hAnsi="Arial" w:cs="Arial"/>
                <w:color w:val="000000"/>
                <w:sz w:val="18"/>
                <w:szCs w:val="18"/>
              </w:rPr>
              <w:t>%</w:t>
            </w:r>
          </w:p>
        </w:tc>
        <w:tc>
          <w:tcPr>
            <w:tcW w:w="973" w:type="dxa"/>
          </w:tcPr>
          <w:p w14:paraId="61638CED" w14:textId="450106CE" w:rsidR="003F4653" w:rsidRPr="00E35BCC" w:rsidRDefault="003F4653" w:rsidP="003F465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C507F">
              <w:rPr>
                <w:rFonts w:ascii="Arial" w:hAnsi="Arial" w:cs="Arial"/>
                <w:color w:val="000000"/>
                <w:sz w:val="18"/>
                <w:szCs w:val="18"/>
              </w:rPr>
              <w:t>+</w:t>
            </w:r>
            <w:r w:rsidR="00986F00">
              <w:rPr>
                <w:rFonts w:ascii="Arial" w:hAnsi="Arial" w:cs="Arial"/>
                <w:color w:val="000000"/>
                <w:sz w:val="18"/>
                <w:szCs w:val="18"/>
              </w:rPr>
              <w:t>2.3</w:t>
            </w:r>
            <w:r w:rsidRPr="002C507F">
              <w:rPr>
                <w:rFonts w:ascii="Arial" w:hAnsi="Arial" w:cs="Arial"/>
                <w:color w:val="000000"/>
                <w:sz w:val="18"/>
                <w:szCs w:val="18"/>
              </w:rPr>
              <w:t>%</w:t>
            </w:r>
          </w:p>
        </w:tc>
        <w:tc>
          <w:tcPr>
            <w:tcW w:w="973" w:type="dxa"/>
          </w:tcPr>
          <w:p w14:paraId="432253F0" w14:textId="5FB47780" w:rsidR="003F4653" w:rsidRPr="00E35BCC" w:rsidRDefault="003F4653" w:rsidP="003F465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C6196E">
              <w:rPr>
                <w:rFonts w:ascii="Arial" w:hAnsi="Arial" w:cs="Arial"/>
                <w:color w:val="000000"/>
                <w:sz w:val="18"/>
                <w:szCs w:val="18"/>
              </w:rPr>
              <w:t>-</w:t>
            </w:r>
            <w:r w:rsidR="00986F00">
              <w:rPr>
                <w:rFonts w:ascii="Arial" w:hAnsi="Arial" w:cs="Arial"/>
                <w:color w:val="000000"/>
                <w:sz w:val="18"/>
                <w:szCs w:val="18"/>
              </w:rPr>
              <w:t>0.4</w:t>
            </w:r>
            <w:r w:rsidRPr="00C6196E">
              <w:rPr>
                <w:rFonts w:ascii="Arial" w:hAnsi="Arial" w:cs="Arial"/>
                <w:color w:val="000000"/>
                <w:sz w:val="18"/>
                <w:szCs w:val="18"/>
              </w:rPr>
              <w:t>%</w:t>
            </w:r>
          </w:p>
        </w:tc>
        <w:tc>
          <w:tcPr>
            <w:tcW w:w="973" w:type="dxa"/>
          </w:tcPr>
          <w:p w14:paraId="16FAF0FC" w14:textId="45D8B520" w:rsidR="003F4653" w:rsidRPr="00E35BCC" w:rsidRDefault="003F4653" w:rsidP="003F465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6196E">
              <w:rPr>
                <w:rFonts w:ascii="Arial" w:hAnsi="Arial" w:cs="Arial"/>
                <w:color w:val="000000"/>
                <w:sz w:val="18"/>
                <w:szCs w:val="18"/>
              </w:rPr>
              <w:t>-</w:t>
            </w:r>
            <w:r w:rsidR="00986F00">
              <w:rPr>
                <w:rFonts w:ascii="Arial" w:hAnsi="Arial" w:cs="Arial"/>
                <w:color w:val="000000"/>
                <w:sz w:val="18"/>
                <w:szCs w:val="18"/>
              </w:rPr>
              <w:t>1.1</w:t>
            </w:r>
            <w:r w:rsidRPr="00C6196E">
              <w:rPr>
                <w:rFonts w:ascii="Arial" w:hAnsi="Arial" w:cs="Arial"/>
                <w:color w:val="000000"/>
                <w:sz w:val="18"/>
                <w:szCs w:val="18"/>
              </w:rPr>
              <w:t>%</w:t>
            </w:r>
          </w:p>
        </w:tc>
      </w:tr>
      <w:tr w:rsidR="003F4653" w:rsidRPr="001C710E" w14:paraId="63E619E4" w14:textId="77777777" w:rsidTr="003F465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noWrap/>
          </w:tcPr>
          <w:p w14:paraId="5C5C93A5" w14:textId="3375483C" w:rsidR="003F4653" w:rsidRPr="00E35BCC" w:rsidRDefault="003F4653" w:rsidP="003F4653">
            <w:pPr>
              <w:rPr>
                <w:rFonts w:ascii="Arial" w:eastAsia="Times New Roman" w:hAnsi="Arial" w:cs="Arial"/>
                <w:b w:val="0"/>
                <w:color w:val="000000" w:themeColor="text1"/>
                <w:sz w:val="18"/>
                <w:szCs w:val="18"/>
                <w:highlight w:val="yellow"/>
              </w:rPr>
            </w:pPr>
            <w:r w:rsidRPr="00E35BCC">
              <w:rPr>
                <w:rFonts w:ascii="Arial" w:eastAsia="Times New Roman" w:hAnsi="Arial" w:cs="Arial"/>
                <w:b w:val="0"/>
                <w:color w:val="000000" w:themeColor="text1"/>
                <w:sz w:val="18"/>
                <w:szCs w:val="18"/>
              </w:rPr>
              <w:t>Frozen seafood</w:t>
            </w:r>
          </w:p>
        </w:tc>
        <w:tc>
          <w:tcPr>
            <w:tcW w:w="990" w:type="dxa"/>
            <w:shd w:val="clear" w:color="auto" w:fill="D9D9D9" w:themeFill="background1" w:themeFillShade="D9"/>
          </w:tcPr>
          <w:p w14:paraId="669918AD" w14:textId="568F8D93" w:rsidR="003F4653" w:rsidRPr="00E35BCC" w:rsidRDefault="003F4653" w:rsidP="003F46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D4973">
              <w:rPr>
                <w:rFonts w:ascii="Arial" w:hAnsi="Arial" w:cs="Arial"/>
                <w:color w:val="000000"/>
                <w:sz w:val="18"/>
                <w:szCs w:val="18"/>
              </w:rPr>
              <w:t>$</w:t>
            </w:r>
            <w:r w:rsidR="00C84566">
              <w:rPr>
                <w:rFonts w:ascii="Arial" w:hAnsi="Arial" w:cs="Arial"/>
                <w:color w:val="000000"/>
                <w:sz w:val="18"/>
                <w:szCs w:val="18"/>
              </w:rPr>
              <w:t>671.4</w:t>
            </w:r>
            <w:r w:rsidRPr="005D4973">
              <w:rPr>
                <w:rFonts w:ascii="Arial" w:hAnsi="Arial" w:cs="Arial"/>
                <w:color w:val="000000"/>
                <w:sz w:val="18"/>
                <w:szCs w:val="18"/>
              </w:rPr>
              <w:t>M</w:t>
            </w:r>
          </w:p>
        </w:tc>
        <w:tc>
          <w:tcPr>
            <w:tcW w:w="853" w:type="dxa"/>
            <w:shd w:val="clear" w:color="auto" w:fill="D9D9D9" w:themeFill="background1" w:themeFillShade="D9"/>
          </w:tcPr>
          <w:p w14:paraId="1A5488BB" w14:textId="6C320269" w:rsidR="003F4653" w:rsidRPr="00E35BCC" w:rsidRDefault="003F4653" w:rsidP="003F46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C84566">
              <w:rPr>
                <w:rFonts w:ascii="Arial" w:hAnsi="Arial" w:cs="Arial"/>
                <w:color w:val="000000"/>
                <w:sz w:val="18"/>
                <w:szCs w:val="18"/>
              </w:rPr>
              <w:t>0.2</w:t>
            </w:r>
            <w:r w:rsidRPr="00900B65">
              <w:rPr>
                <w:rFonts w:ascii="Arial" w:hAnsi="Arial" w:cs="Arial"/>
                <w:color w:val="000000"/>
                <w:sz w:val="18"/>
                <w:szCs w:val="18"/>
              </w:rPr>
              <w:t>%</w:t>
            </w:r>
          </w:p>
        </w:tc>
        <w:tc>
          <w:tcPr>
            <w:tcW w:w="913" w:type="dxa"/>
            <w:shd w:val="clear" w:color="auto" w:fill="D9D9D9" w:themeFill="background1" w:themeFillShade="D9"/>
          </w:tcPr>
          <w:p w14:paraId="380E2648" w14:textId="784E8360" w:rsidR="003F4653" w:rsidRPr="00E35BCC" w:rsidRDefault="003F4653" w:rsidP="003F465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84566">
              <w:rPr>
                <w:rFonts w:ascii="Arial" w:hAnsi="Arial" w:cs="Arial"/>
                <w:color w:val="000000"/>
                <w:sz w:val="18"/>
                <w:szCs w:val="18"/>
              </w:rPr>
              <w:t>10.6</w:t>
            </w:r>
            <w:r w:rsidRPr="00900B65">
              <w:rPr>
                <w:rFonts w:ascii="Arial" w:hAnsi="Arial" w:cs="Arial"/>
                <w:color w:val="000000"/>
                <w:sz w:val="18"/>
                <w:szCs w:val="18"/>
              </w:rPr>
              <w:t>%</w:t>
            </w:r>
          </w:p>
        </w:tc>
        <w:tc>
          <w:tcPr>
            <w:tcW w:w="883" w:type="dxa"/>
            <w:shd w:val="clear" w:color="auto" w:fill="D9D9D9" w:themeFill="background1" w:themeFillShade="D9"/>
          </w:tcPr>
          <w:p w14:paraId="11DF626A" w14:textId="2BF0C0A5" w:rsidR="003F4653" w:rsidRPr="00E35BCC" w:rsidRDefault="003F4653" w:rsidP="003F465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9570B">
              <w:rPr>
                <w:rFonts w:ascii="Arial" w:hAnsi="Arial" w:cs="Arial"/>
                <w:color w:val="000000"/>
                <w:sz w:val="18"/>
                <w:szCs w:val="18"/>
              </w:rPr>
              <w:t>-</w:t>
            </w:r>
            <w:r w:rsidR="00C84566">
              <w:rPr>
                <w:rFonts w:ascii="Arial" w:hAnsi="Arial" w:cs="Arial"/>
                <w:color w:val="000000"/>
                <w:sz w:val="18"/>
                <w:szCs w:val="18"/>
              </w:rPr>
              <w:t>12.7</w:t>
            </w:r>
            <w:r w:rsidRPr="0049570B">
              <w:rPr>
                <w:rFonts w:ascii="Arial" w:hAnsi="Arial" w:cs="Arial"/>
                <w:color w:val="000000"/>
                <w:sz w:val="18"/>
                <w:szCs w:val="18"/>
              </w:rPr>
              <w:t>%</w:t>
            </w:r>
          </w:p>
        </w:tc>
        <w:tc>
          <w:tcPr>
            <w:tcW w:w="882" w:type="dxa"/>
            <w:tcBorders>
              <w:right w:val="single" w:sz="4" w:space="0" w:color="31849B" w:themeColor="accent5" w:themeShade="BF"/>
            </w:tcBorders>
            <w:shd w:val="clear" w:color="auto" w:fill="D9D9D9" w:themeFill="background1" w:themeFillShade="D9"/>
          </w:tcPr>
          <w:p w14:paraId="41CF3035" w14:textId="63CF291F" w:rsidR="003F4653" w:rsidRPr="00E35BCC" w:rsidRDefault="003F4653" w:rsidP="003F4653">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9570B">
              <w:rPr>
                <w:rFonts w:ascii="Arial" w:hAnsi="Arial" w:cs="Arial"/>
                <w:color w:val="000000"/>
                <w:sz w:val="18"/>
                <w:szCs w:val="18"/>
              </w:rPr>
              <w:t>-</w:t>
            </w:r>
            <w:r w:rsidR="00C84566">
              <w:rPr>
                <w:rFonts w:ascii="Arial" w:hAnsi="Arial" w:cs="Arial"/>
                <w:color w:val="000000"/>
                <w:sz w:val="18"/>
                <w:szCs w:val="18"/>
              </w:rPr>
              <w:t>1.4</w:t>
            </w:r>
            <w:r w:rsidRPr="0049570B">
              <w:rPr>
                <w:rFonts w:ascii="Arial" w:hAnsi="Arial" w:cs="Arial"/>
                <w:color w:val="000000"/>
                <w:sz w:val="18"/>
                <w:szCs w:val="18"/>
              </w:rPr>
              <w:t>%</w:t>
            </w:r>
          </w:p>
        </w:tc>
        <w:tc>
          <w:tcPr>
            <w:tcW w:w="973" w:type="dxa"/>
            <w:tcBorders>
              <w:left w:val="single" w:sz="4" w:space="0" w:color="31849B" w:themeColor="accent5" w:themeShade="BF"/>
            </w:tcBorders>
            <w:shd w:val="clear" w:color="auto" w:fill="D9D9D9" w:themeFill="background1" w:themeFillShade="D9"/>
          </w:tcPr>
          <w:p w14:paraId="447947D5" w14:textId="6752DF59" w:rsidR="003F4653" w:rsidRPr="00E35BCC" w:rsidRDefault="003F4653" w:rsidP="003F4653">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C507F">
              <w:rPr>
                <w:rFonts w:ascii="Arial" w:hAnsi="Arial" w:cs="Arial"/>
                <w:color w:val="000000"/>
                <w:sz w:val="18"/>
                <w:szCs w:val="18"/>
              </w:rPr>
              <w:t>+</w:t>
            </w:r>
            <w:r w:rsidR="00C84566">
              <w:rPr>
                <w:rFonts w:ascii="Arial" w:hAnsi="Arial" w:cs="Arial"/>
                <w:color w:val="000000"/>
                <w:sz w:val="18"/>
                <w:szCs w:val="18"/>
              </w:rPr>
              <w:t>2.5</w:t>
            </w:r>
            <w:r w:rsidRPr="002C507F">
              <w:rPr>
                <w:rFonts w:ascii="Arial" w:hAnsi="Arial" w:cs="Arial"/>
                <w:color w:val="000000"/>
                <w:sz w:val="18"/>
                <w:szCs w:val="18"/>
              </w:rPr>
              <w:t>%</w:t>
            </w:r>
          </w:p>
        </w:tc>
        <w:tc>
          <w:tcPr>
            <w:tcW w:w="973" w:type="dxa"/>
            <w:shd w:val="clear" w:color="auto" w:fill="D9D9D9" w:themeFill="background1" w:themeFillShade="D9"/>
          </w:tcPr>
          <w:p w14:paraId="7BC58367" w14:textId="43B969C3" w:rsidR="003F4653" w:rsidRPr="00E35BCC" w:rsidRDefault="003F4653" w:rsidP="003F4653">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C507F">
              <w:rPr>
                <w:rFonts w:ascii="Arial" w:hAnsi="Arial" w:cs="Arial"/>
                <w:color w:val="000000"/>
                <w:sz w:val="18"/>
                <w:szCs w:val="18"/>
              </w:rPr>
              <w:t>+</w:t>
            </w:r>
            <w:r w:rsidR="00C84566">
              <w:rPr>
                <w:rFonts w:ascii="Arial" w:hAnsi="Arial" w:cs="Arial"/>
                <w:color w:val="000000"/>
                <w:sz w:val="18"/>
                <w:szCs w:val="18"/>
              </w:rPr>
              <w:t>2.8</w:t>
            </w:r>
            <w:r w:rsidRPr="002C507F">
              <w:rPr>
                <w:rFonts w:ascii="Arial" w:hAnsi="Arial" w:cs="Arial"/>
                <w:color w:val="000000"/>
                <w:sz w:val="18"/>
                <w:szCs w:val="18"/>
              </w:rPr>
              <w:t>%</w:t>
            </w:r>
          </w:p>
        </w:tc>
        <w:tc>
          <w:tcPr>
            <w:tcW w:w="973" w:type="dxa"/>
            <w:shd w:val="clear" w:color="auto" w:fill="D9D9D9" w:themeFill="background1" w:themeFillShade="D9"/>
          </w:tcPr>
          <w:p w14:paraId="634EFC21" w14:textId="5956C507" w:rsidR="003F4653" w:rsidRPr="00E35BCC" w:rsidRDefault="003F4653" w:rsidP="003F4653">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C6196E">
              <w:rPr>
                <w:rFonts w:ascii="Arial" w:hAnsi="Arial" w:cs="Arial"/>
                <w:color w:val="000000"/>
                <w:sz w:val="18"/>
                <w:szCs w:val="18"/>
              </w:rPr>
              <w:t>-</w:t>
            </w:r>
            <w:r w:rsidR="00C84566">
              <w:rPr>
                <w:rFonts w:ascii="Arial" w:hAnsi="Arial" w:cs="Arial"/>
                <w:color w:val="000000"/>
                <w:sz w:val="18"/>
                <w:szCs w:val="18"/>
              </w:rPr>
              <w:t>4.0</w:t>
            </w:r>
            <w:r w:rsidRPr="00C6196E">
              <w:rPr>
                <w:rFonts w:ascii="Arial" w:hAnsi="Arial" w:cs="Arial"/>
                <w:color w:val="000000"/>
                <w:sz w:val="18"/>
                <w:szCs w:val="18"/>
              </w:rPr>
              <w:t>%</w:t>
            </w:r>
          </w:p>
        </w:tc>
        <w:tc>
          <w:tcPr>
            <w:tcW w:w="973" w:type="dxa"/>
            <w:shd w:val="clear" w:color="auto" w:fill="D9D9D9" w:themeFill="background1" w:themeFillShade="D9"/>
          </w:tcPr>
          <w:p w14:paraId="682B659D" w14:textId="487412A9" w:rsidR="003F4653" w:rsidRPr="00E35BCC" w:rsidRDefault="003F4653" w:rsidP="003F4653">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6196E">
              <w:rPr>
                <w:rFonts w:ascii="Arial" w:hAnsi="Arial" w:cs="Arial"/>
                <w:color w:val="000000"/>
                <w:sz w:val="18"/>
                <w:szCs w:val="18"/>
              </w:rPr>
              <w:t>-</w:t>
            </w:r>
            <w:r w:rsidR="00C84566">
              <w:rPr>
                <w:rFonts w:ascii="Arial" w:hAnsi="Arial" w:cs="Arial"/>
                <w:color w:val="000000"/>
                <w:sz w:val="18"/>
                <w:szCs w:val="18"/>
              </w:rPr>
              <w:t>2.3</w:t>
            </w:r>
            <w:r w:rsidRPr="00C6196E">
              <w:rPr>
                <w:rFonts w:ascii="Arial" w:hAnsi="Arial" w:cs="Arial"/>
                <w:color w:val="000000"/>
                <w:sz w:val="18"/>
                <w:szCs w:val="18"/>
              </w:rPr>
              <w:t>%</w:t>
            </w:r>
          </w:p>
        </w:tc>
      </w:tr>
      <w:tr w:rsidR="003F4653" w:rsidRPr="001C710E" w14:paraId="6B623256" w14:textId="77777777" w:rsidTr="003F4653">
        <w:trPr>
          <w:trHeight w:val="7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0D7C2236" w14:textId="482E14F8" w:rsidR="003F4653" w:rsidRPr="00E35BCC" w:rsidRDefault="003F4653" w:rsidP="003F4653">
            <w:pPr>
              <w:rPr>
                <w:rFonts w:ascii="Arial" w:eastAsia="Times New Roman" w:hAnsi="Arial" w:cs="Arial"/>
                <w:b w:val="0"/>
                <w:bCs w:val="0"/>
                <w:color w:val="000000" w:themeColor="text1"/>
                <w:sz w:val="18"/>
                <w:szCs w:val="18"/>
                <w:highlight w:val="yellow"/>
              </w:rPr>
            </w:pPr>
            <w:r w:rsidRPr="00E35BCC">
              <w:rPr>
                <w:rFonts w:ascii="Arial" w:eastAsia="Times New Roman" w:hAnsi="Arial" w:cs="Arial"/>
                <w:b w:val="0"/>
                <w:bCs w:val="0"/>
                <w:color w:val="000000" w:themeColor="text1"/>
                <w:sz w:val="18"/>
                <w:szCs w:val="18"/>
              </w:rPr>
              <w:t>Shelf-stable seafood</w:t>
            </w:r>
          </w:p>
        </w:tc>
        <w:tc>
          <w:tcPr>
            <w:tcW w:w="990" w:type="dxa"/>
          </w:tcPr>
          <w:p w14:paraId="6E39380C" w14:textId="601856AC" w:rsidR="003F4653" w:rsidRPr="00E35BCC" w:rsidRDefault="003F4653" w:rsidP="003F4653">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D4973">
              <w:rPr>
                <w:rFonts w:ascii="Arial" w:hAnsi="Arial" w:cs="Arial"/>
                <w:color w:val="000000"/>
                <w:sz w:val="18"/>
                <w:szCs w:val="18"/>
              </w:rPr>
              <w:t>$</w:t>
            </w:r>
            <w:r w:rsidR="00340297">
              <w:rPr>
                <w:rFonts w:ascii="Arial" w:hAnsi="Arial" w:cs="Arial"/>
                <w:color w:val="000000"/>
                <w:sz w:val="18"/>
                <w:szCs w:val="18"/>
              </w:rPr>
              <w:t>303.4</w:t>
            </w:r>
            <w:r w:rsidRPr="005D4973">
              <w:rPr>
                <w:rFonts w:ascii="Arial" w:hAnsi="Arial" w:cs="Arial"/>
                <w:color w:val="000000"/>
                <w:sz w:val="18"/>
                <w:szCs w:val="18"/>
              </w:rPr>
              <w:t>M</w:t>
            </w:r>
          </w:p>
        </w:tc>
        <w:tc>
          <w:tcPr>
            <w:tcW w:w="853" w:type="dxa"/>
          </w:tcPr>
          <w:p w14:paraId="24281AAC" w14:textId="25DA4C71" w:rsidR="003F4653" w:rsidRPr="00E35BCC" w:rsidRDefault="003F4653" w:rsidP="003F46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6A4298">
              <w:rPr>
                <w:rFonts w:ascii="Arial" w:hAnsi="Arial" w:cs="Arial"/>
                <w:color w:val="000000"/>
                <w:sz w:val="18"/>
                <w:szCs w:val="18"/>
              </w:rPr>
              <w:t>+</w:t>
            </w:r>
            <w:r w:rsidR="00340297">
              <w:rPr>
                <w:rFonts w:ascii="Arial" w:hAnsi="Arial" w:cs="Arial"/>
                <w:color w:val="000000"/>
                <w:sz w:val="18"/>
                <w:szCs w:val="18"/>
              </w:rPr>
              <w:t>13.9</w:t>
            </w:r>
            <w:r w:rsidRPr="006A4298">
              <w:rPr>
                <w:rFonts w:ascii="Arial" w:hAnsi="Arial" w:cs="Arial"/>
                <w:color w:val="000000"/>
                <w:sz w:val="18"/>
                <w:szCs w:val="18"/>
              </w:rPr>
              <w:t>%</w:t>
            </w:r>
          </w:p>
        </w:tc>
        <w:tc>
          <w:tcPr>
            <w:tcW w:w="913" w:type="dxa"/>
          </w:tcPr>
          <w:p w14:paraId="31940B22" w14:textId="145114D5" w:rsidR="003F4653" w:rsidRPr="00E35BCC" w:rsidRDefault="003F4653" w:rsidP="003F465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A4298">
              <w:rPr>
                <w:rFonts w:ascii="Arial" w:hAnsi="Arial" w:cs="Arial"/>
                <w:color w:val="000000"/>
                <w:sz w:val="18"/>
                <w:szCs w:val="18"/>
              </w:rPr>
              <w:t>+</w:t>
            </w:r>
            <w:r w:rsidR="00340297">
              <w:rPr>
                <w:rFonts w:ascii="Arial" w:hAnsi="Arial" w:cs="Arial"/>
                <w:color w:val="000000"/>
                <w:sz w:val="18"/>
                <w:szCs w:val="18"/>
              </w:rPr>
              <w:t>18.3</w:t>
            </w:r>
            <w:r w:rsidRPr="006A4298">
              <w:rPr>
                <w:rFonts w:ascii="Arial" w:hAnsi="Arial" w:cs="Arial"/>
                <w:color w:val="000000"/>
                <w:sz w:val="18"/>
                <w:szCs w:val="18"/>
              </w:rPr>
              <w:t>%</w:t>
            </w:r>
          </w:p>
        </w:tc>
        <w:tc>
          <w:tcPr>
            <w:tcW w:w="883" w:type="dxa"/>
          </w:tcPr>
          <w:p w14:paraId="177BD83E" w14:textId="053F1404" w:rsidR="003F4653" w:rsidRPr="00E35BCC" w:rsidRDefault="003F4653" w:rsidP="003F465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A4298">
              <w:rPr>
                <w:rFonts w:ascii="Arial" w:hAnsi="Arial" w:cs="Arial"/>
                <w:color w:val="000000"/>
                <w:sz w:val="18"/>
                <w:szCs w:val="18"/>
              </w:rPr>
              <w:t>+</w:t>
            </w:r>
            <w:r w:rsidR="00340297">
              <w:rPr>
                <w:rFonts w:ascii="Arial" w:hAnsi="Arial" w:cs="Arial"/>
                <w:color w:val="000000"/>
                <w:sz w:val="18"/>
                <w:szCs w:val="18"/>
              </w:rPr>
              <w:t>0.4</w:t>
            </w:r>
            <w:r w:rsidRPr="006A4298">
              <w:rPr>
                <w:rFonts w:ascii="Arial" w:hAnsi="Arial" w:cs="Arial"/>
                <w:color w:val="000000"/>
                <w:sz w:val="18"/>
                <w:szCs w:val="18"/>
              </w:rPr>
              <w:t>%</w:t>
            </w:r>
          </w:p>
        </w:tc>
        <w:tc>
          <w:tcPr>
            <w:tcW w:w="882" w:type="dxa"/>
            <w:tcBorders>
              <w:right w:val="single" w:sz="4" w:space="0" w:color="31849B" w:themeColor="accent5" w:themeShade="BF"/>
            </w:tcBorders>
          </w:tcPr>
          <w:p w14:paraId="0523818B" w14:textId="765B939E" w:rsidR="003F4653" w:rsidRPr="00E35BCC" w:rsidRDefault="003F4653" w:rsidP="003F465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A4298">
              <w:rPr>
                <w:rFonts w:ascii="Arial" w:hAnsi="Arial" w:cs="Arial"/>
                <w:color w:val="000000"/>
                <w:sz w:val="18"/>
                <w:szCs w:val="18"/>
              </w:rPr>
              <w:t>+</w:t>
            </w:r>
            <w:r w:rsidR="00340297">
              <w:rPr>
                <w:rFonts w:ascii="Arial" w:hAnsi="Arial" w:cs="Arial"/>
                <w:color w:val="000000"/>
                <w:sz w:val="18"/>
                <w:szCs w:val="18"/>
              </w:rPr>
              <w:t>7.7</w:t>
            </w:r>
            <w:r w:rsidRPr="006A4298">
              <w:rPr>
                <w:rFonts w:ascii="Arial" w:hAnsi="Arial" w:cs="Arial"/>
                <w:color w:val="000000"/>
                <w:sz w:val="18"/>
                <w:szCs w:val="18"/>
              </w:rPr>
              <w:t>%</w:t>
            </w:r>
          </w:p>
        </w:tc>
        <w:tc>
          <w:tcPr>
            <w:tcW w:w="973" w:type="dxa"/>
            <w:tcBorders>
              <w:left w:val="single" w:sz="4" w:space="0" w:color="31849B" w:themeColor="accent5" w:themeShade="BF"/>
            </w:tcBorders>
          </w:tcPr>
          <w:p w14:paraId="3E2D5BC2" w14:textId="71EDBC7E" w:rsidR="003F4653" w:rsidRPr="00E35BCC" w:rsidRDefault="003F4653" w:rsidP="003F465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86AD4">
              <w:rPr>
                <w:rFonts w:ascii="Arial" w:hAnsi="Arial" w:cs="Arial"/>
                <w:color w:val="000000"/>
                <w:sz w:val="18"/>
                <w:szCs w:val="18"/>
              </w:rPr>
              <w:t>+</w:t>
            </w:r>
            <w:r w:rsidR="00340297">
              <w:rPr>
                <w:rFonts w:ascii="Arial" w:hAnsi="Arial" w:cs="Arial"/>
                <w:color w:val="000000"/>
                <w:sz w:val="18"/>
                <w:szCs w:val="18"/>
              </w:rPr>
              <w:t>6.7</w:t>
            </w:r>
            <w:r w:rsidRPr="00486AD4">
              <w:rPr>
                <w:rFonts w:ascii="Arial" w:hAnsi="Arial" w:cs="Arial"/>
                <w:color w:val="000000"/>
                <w:sz w:val="18"/>
                <w:szCs w:val="18"/>
              </w:rPr>
              <w:t>%</w:t>
            </w:r>
          </w:p>
        </w:tc>
        <w:tc>
          <w:tcPr>
            <w:tcW w:w="973" w:type="dxa"/>
          </w:tcPr>
          <w:p w14:paraId="6D25E609" w14:textId="4917F9CF" w:rsidR="003F4653" w:rsidRPr="00E35BCC" w:rsidRDefault="003F4653" w:rsidP="003F465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86AD4">
              <w:rPr>
                <w:rFonts w:ascii="Arial" w:hAnsi="Arial" w:cs="Arial"/>
                <w:color w:val="000000"/>
                <w:sz w:val="18"/>
                <w:szCs w:val="18"/>
              </w:rPr>
              <w:t>+</w:t>
            </w:r>
            <w:r w:rsidR="00340297">
              <w:rPr>
                <w:rFonts w:ascii="Arial" w:hAnsi="Arial" w:cs="Arial"/>
                <w:color w:val="000000"/>
                <w:sz w:val="18"/>
                <w:szCs w:val="18"/>
              </w:rPr>
              <w:t>8.6</w:t>
            </w:r>
            <w:r w:rsidRPr="00486AD4">
              <w:rPr>
                <w:rFonts w:ascii="Arial" w:hAnsi="Arial" w:cs="Arial"/>
                <w:color w:val="000000"/>
                <w:sz w:val="18"/>
                <w:szCs w:val="18"/>
              </w:rPr>
              <w:t>%</w:t>
            </w:r>
          </w:p>
        </w:tc>
        <w:tc>
          <w:tcPr>
            <w:tcW w:w="973" w:type="dxa"/>
          </w:tcPr>
          <w:p w14:paraId="61F6C8D3" w14:textId="4F03069B" w:rsidR="003F4653" w:rsidRPr="00E35BCC" w:rsidRDefault="003F4653" w:rsidP="003F465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486AD4">
              <w:rPr>
                <w:rFonts w:ascii="Arial" w:hAnsi="Arial" w:cs="Arial"/>
                <w:color w:val="000000"/>
                <w:sz w:val="18"/>
                <w:szCs w:val="18"/>
              </w:rPr>
              <w:t>+</w:t>
            </w:r>
            <w:r w:rsidR="00340297">
              <w:rPr>
                <w:rFonts w:ascii="Arial" w:hAnsi="Arial" w:cs="Arial"/>
                <w:color w:val="000000"/>
                <w:sz w:val="18"/>
                <w:szCs w:val="18"/>
              </w:rPr>
              <w:t>1.4</w:t>
            </w:r>
            <w:r w:rsidRPr="00486AD4">
              <w:rPr>
                <w:rFonts w:ascii="Arial" w:hAnsi="Arial" w:cs="Arial"/>
                <w:color w:val="000000"/>
                <w:sz w:val="18"/>
                <w:szCs w:val="18"/>
              </w:rPr>
              <w:t>%</w:t>
            </w:r>
          </w:p>
        </w:tc>
        <w:tc>
          <w:tcPr>
            <w:tcW w:w="973" w:type="dxa"/>
          </w:tcPr>
          <w:p w14:paraId="538333AC" w14:textId="63B8310C" w:rsidR="003F4653" w:rsidRPr="00E35BCC" w:rsidRDefault="003F4653" w:rsidP="003F4653">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86AD4">
              <w:rPr>
                <w:rFonts w:ascii="Arial" w:hAnsi="Arial" w:cs="Arial"/>
                <w:color w:val="000000"/>
                <w:sz w:val="18"/>
                <w:szCs w:val="18"/>
              </w:rPr>
              <w:t>+</w:t>
            </w:r>
            <w:r w:rsidR="00340297">
              <w:rPr>
                <w:rFonts w:ascii="Arial" w:hAnsi="Arial" w:cs="Arial"/>
                <w:color w:val="000000"/>
                <w:sz w:val="18"/>
                <w:szCs w:val="18"/>
              </w:rPr>
              <w:t>6.2</w:t>
            </w:r>
            <w:r w:rsidRPr="00486AD4">
              <w:rPr>
                <w:rFonts w:ascii="Arial" w:hAnsi="Arial" w:cs="Arial"/>
                <w:color w:val="000000"/>
                <w:sz w:val="18"/>
                <w:szCs w:val="18"/>
              </w:rPr>
              <w:t>%</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r w:rsidR="007A44BE">
        <w:rPr>
          <w:rFonts w:ascii="Arial" w:hAnsi="Arial" w:cs="Arial"/>
          <w:color w:val="7F7F7F" w:themeColor="text1" w:themeTint="80"/>
          <w:sz w:val="16"/>
          <w:szCs w:val="16"/>
        </w:rPr>
        <w:t>Circana</w:t>
      </w:r>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7"/>
    <w:p w14:paraId="0CE4B05A" w14:textId="3E42240F" w:rsidR="00311F4B" w:rsidRDefault="00311F4B" w:rsidP="00AD60E2">
      <w:pPr>
        <w:pStyle w:val="NoSpacing"/>
        <w:rPr>
          <w:rFonts w:ascii="Arial" w:hAnsi="Arial" w:cs="Arial"/>
          <w:b/>
          <w:color w:val="595959" w:themeColor="text1" w:themeTint="A6"/>
          <w:sz w:val="24"/>
          <w:szCs w:val="20"/>
        </w:rPr>
      </w:pPr>
    </w:p>
    <w:p w14:paraId="382E9DB8" w14:textId="77777777" w:rsidR="00395B32" w:rsidRDefault="00395B32">
      <w:pPr>
        <w:rPr>
          <w:rFonts w:ascii="Arial" w:hAnsi="Arial" w:cs="Arial"/>
          <w:b/>
          <w:color w:val="00857C"/>
          <w:sz w:val="24"/>
          <w:szCs w:val="20"/>
        </w:rPr>
      </w:pPr>
      <w:bookmarkStart w:id="8" w:name="_Hlk224305795"/>
      <w:r>
        <w:rPr>
          <w:rFonts w:ascii="Arial" w:hAnsi="Arial" w:cs="Arial"/>
          <w:b/>
          <w:color w:val="00857C"/>
          <w:sz w:val="24"/>
          <w:szCs w:val="20"/>
        </w:rPr>
        <w:br w:type="page"/>
      </w:r>
    </w:p>
    <w:p w14:paraId="23E77AA9" w14:textId="77777777" w:rsidR="00395B32" w:rsidRDefault="00395B32" w:rsidP="00AD60E2">
      <w:pPr>
        <w:pStyle w:val="NoSpacing"/>
        <w:rPr>
          <w:rFonts w:ascii="Arial" w:hAnsi="Arial" w:cs="Arial"/>
          <w:b/>
          <w:color w:val="00857C"/>
          <w:sz w:val="24"/>
          <w:szCs w:val="20"/>
        </w:rPr>
      </w:pPr>
    </w:p>
    <w:p w14:paraId="510A6CFD" w14:textId="6F657FDF" w:rsidR="004B06AE" w:rsidRPr="00C24355" w:rsidRDefault="004B06AE" w:rsidP="00AD60E2">
      <w:pPr>
        <w:pStyle w:val="NoSpacing"/>
        <w:rPr>
          <w:rFonts w:ascii="Arial" w:hAnsi="Arial" w:cs="Arial"/>
          <w:b/>
          <w:color w:val="00857C"/>
          <w:sz w:val="24"/>
          <w:szCs w:val="20"/>
        </w:rPr>
      </w:pPr>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07847CC6" w:rsidR="00A94364" w:rsidRDefault="007417C7" w:rsidP="00456776">
      <w:pPr>
        <w:pStyle w:val="NoSpacing"/>
        <w:ind w:right="11"/>
        <w:rPr>
          <w:rFonts w:ascii="Arial" w:hAnsi="Arial" w:cs="Arial"/>
          <w:sz w:val="20"/>
        </w:rPr>
      </w:pPr>
      <w:r>
        <w:rPr>
          <w:rFonts w:ascii="Arial" w:hAnsi="Arial" w:cs="Arial"/>
          <w:sz w:val="20"/>
        </w:rPr>
        <w:t xml:space="preserve">Shelf-stable cans and pouches </w:t>
      </w:r>
      <w:r w:rsidR="009A7D70">
        <w:rPr>
          <w:rFonts w:ascii="Arial" w:hAnsi="Arial" w:cs="Arial"/>
          <w:sz w:val="20"/>
        </w:rPr>
        <w:t>en</w:t>
      </w:r>
      <w:r w:rsidR="003F4653">
        <w:rPr>
          <w:rFonts w:ascii="Arial" w:hAnsi="Arial" w:cs="Arial"/>
          <w:sz w:val="20"/>
        </w:rPr>
        <w:t xml:space="preserve">joyed robust dollar gains of </w:t>
      </w:r>
      <w:r w:rsidR="00C85A0C">
        <w:rPr>
          <w:rFonts w:ascii="Arial" w:hAnsi="Arial" w:cs="Arial"/>
          <w:sz w:val="20"/>
        </w:rPr>
        <w:t>13.9</w:t>
      </w:r>
      <w:r w:rsidR="009A7D70">
        <w:rPr>
          <w:rFonts w:ascii="Arial" w:hAnsi="Arial" w:cs="Arial"/>
          <w:sz w:val="20"/>
        </w:rPr>
        <w:t xml:space="preserve">%, bringing </w:t>
      </w:r>
      <w:r w:rsidR="003F4653">
        <w:rPr>
          <w:rFonts w:ascii="Arial" w:hAnsi="Arial" w:cs="Arial"/>
          <w:sz w:val="20"/>
        </w:rPr>
        <w:t>April</w:t>
      </w:r>
      <w:r w:rsidR="009A7D70">
        <w:rPr>
          <w:rFonts w:ascii="Arial" w:hAnsi="Arial" w:cs="Arial"/>
          <w:sz w:val="20"/>
        </w:rPr>
        <w:t xml:space="preserve"> 2026 sales to $</w:t>
      </w:r>
      <w:r w:rsidR="00C85A0C">
        <w:rPr>
          <w:rFonts w:ascii="Arial" w:hAnsi="Arial" w:cs="Arial"/>
          <w:sz w:val="20"/>
        </w:rPr>
        <w:t>303.4</w:t>
      </w:r>
      <w:r w:rsidR="003F4653">
        <w:rPr>
          <w:rFonts w:ascii="Arial" w:hAnsi="Arial" w:cs="Arial"/>
          <w:sz w:val="20"/>
        </w:rPr>
        <w:t xml:space="preserve"> </w:t>
      </w:r>
      <w:r w:rsidR="009A7D70">
        <w:rPr>
          <w:rFonts w:ascii="Arial" w:hAnsi="Arial" w:cs="Arial"/>
          <w:sz w:val="20"/>
        </w:rPr>
        <w:t>million</w:t>
      </w:r>
      <w:r>
        <w:rPr>
          <w:rFonts w:ascii="Arial" w:hAnsi="Arial" w:cs="Arial"/>
          <w:sz w:val="20"/>
        </w:rPr>
        <w:t>.</w:t>
      </w:r>
      <w:r w:rsidR="009A7D70">
        <w:rPr>
          <w:rFonts w:ascii="Arial" w:hAnsi="Arial" w:cs="Arial"/>
          <w:sz w:val="20"/>
        </w:rPr>
        <w:t xml:space="preserve"> </w:t>
      </w:r>
      <w:r w:rsidR="00C85A0C">
        <w:rPr>
          <w:rFonts w:ascii="Arial" w:hAnsi="Arial" w:cs="Arial"/>
          <w:sz w:val="20"/>
        </w:rPr>
        <w:t xml:space="preserve">The vast majority of sales were driven by tuna, at $204.3 million. However, canned sardines remained the big winner in April with continued double-digit growth. Annual sales now exceed $400 million, with a 15.8% increase in unit sales over the past year.  </w:t>
      </w:r>
    </w:p>
    <w:p w14:paraId="5CD2AC17" w14:textId="10E39EFB" w:rsidR="00A94364" w:rsidRPr="006F697A" w:rsidRDefault="00A94364" w:rsidP="00AD60E2">
      <w:pPr>
        <w:pStyle w:val="NoSpacing"/>
        <w:rPr>
          <w:rFonts w:ascii="Arial" w:hAnsi="Arial" w:cs="Arial"/>
          <w:sz w:val="8"/>
          <w:szCs w:val="10"/>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75C35" w:rsidRPr="00AD60E2" w14:paraId="33166523" w14:textId="77777777" w:rsidTr="00D0653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75C35" w:rsidRPr="00AD60E2" w:rsidRDefault="00C75C35" w:rsidP="00C75C35">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59D30285" w:rsidR="00C75C35" w:rsidRPr="00AD60E2" w:rsidRDefault="003F4653"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April</w:t>
            </w:r>
            <w:r w:rsidR="00F34BCF">
              <w:rPr>
                <w:rFonts w:ascii="Arial" w:hAnsi="Arial" w:cs="Arial"/>
                <w:color w:val="FFFFFF" w:themeColor="background1"/>
                <w:sz w:val="18"/>
                <w:szCs w:val="18"/>
              </w:rPr>
              <w:t xml:space="preserve"> </w:t>
            </w:r>
            <w:r w:rsidR="006A6067">
              <w:rPr>
                <w:rFonts w:ascii="Arial" w:hAnsi="Arial" w:cs="Arial"/>
                <w:color w:val="FFFFFF" w:themeColor="background1"/>
                <w:sz w:val="18"/>
                <w:szCs w:val="18"/>
              </w:rPr>
              <w:t>2026</w:t>
            </w:r>
          </w:p>
        </w:tc>
        <w:tc>
          <w:tcPr>
            <w:tcW w:w="4410" w:type="dxa"/>
            <w:gridSpan w:val="3"/>
            <w:tcBorders>
              <w:bottom w:val="none" w:sz="0" w:space="0" w:color="auto"/>
            </w:tcBorders>
            <w:shd w:val="clear" w:color="auto" w:fill="17365D" w:themeFill="text2" w:themeFillShade="BF"/>
          </w:tcPr>
          <w:p w14:paraId="62716401" w14:textId="1ACBB636" w:rsidR="00C75C35" w:rsidRPr="00AD60E2" w:rsidRDefault="00407D9A"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Last 52 weeks</w:t>
            </w:r>
          </w:p>
        </w:tc>
      </w:tr>
      <w:tr w:rsidR="008563FB" w:rsidRPr="00AD60E2" w14:paraId="429EBA58" w14:textId="77777777" w:rsidTr="004E5BF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9A7D70" w:rsidRPr="00AD60E2" w14:paraId="11367CFE" w14:textId="77777777" w:rsidTr="009A7D70">
        <w:trPr>
          <w:trHeight w:val="278"/>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9A7D70" w:rsidRPr="009A7D70" w:rsidRDefault="009A7D70" w:rsidP="009A7D70">
            <w:pPr>
              <w:pStyle w:val="NoSpacing"/>
              <w:rPr>
                <w:rFonts w:ascii="Arial" w:hAnsi="Arial" w:cs="Arial"/>
                <w:bCs w:val="0"/>
                <w:sz w:val="18"/>
                <w:szCs w:val="18"/>
              </w:rPr>
            </w:pPr>
            <w:r w:rsidRPr="009A7D70">
              <w:rPr>
                <w:rFonts w:ascii="Arial" w:eastAsia="Times New Roman" w:hAnsi="Arial" w:cs="Arial"/>
                <w:bCs w:val="0"/>
                <w:sz w:val="18"/>
                <w:szCs w:val="18"/>
              </w:rPr>
              <w:t>Ambient seafood</w:t>
            </w:r>
          </w:p>
        </w:tc>
        <w:tc>
          <w:tcPr>
            <w:tcW w:w="1485" w:type="dxa"/>
            <w:vAlign w:val="center"/>
          </w:tcPr>
          <w:p w14:paraId="13FD707B" w14:textId="0F41243F" w:rsidR="009A7D70" w:rsidRPr="009A7D70" w:rsidRDefault="003F4653"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color w:val="000000"/>
                <w:sz w:val="18"/>
                <w:szCs w:val="18"/>
              </w:rPr>
              <w:t>$</w:t>
            </w:r>
            <w:r w:rsidR="00340297">
              <w:rPr>
                <w:rFonts w:ascii="Arial" w:hAnsi="Arial" w:cs="Arial"/>
                <w:b/>
                <w:bCs/>
                <w:color w:val="000000"/>
                <w:sz w:val="18"/>
                <w:szCs w:val="18"/>
              </w:rPr>
              <w:t>303.4</w:t>
            </w:r>
            <w:r w:rsidR="009A7D70" w:rsidRPr="009A7D70">
              <w:rPr>
                <w:rFonts w:ascii="Arial" w:hAnsi="Arial" w:cs="Arial"/>
                <w:b/>
                <w:bCs/>
                <w:color w:val="000000"/>
                <w:sz w:val="18"/>
                <w:szCs w:val="18"/>
              </w:rPr>
              <w:t>M</w:t>
            </w:r>
          </w:p>
        </w:tc>
        <w:tc>
          <w:tcPr>
            <w:tcW w:w="1485" w:type="dxa"/>
            <w:vAlign w:val="center"/>
          </w:tcPr>
          <w:p w14:paraId="7CD0CA5D" w14:textId="621CBFEC" w:rsidR="009A7D70" w:rsidRPr="009A7D70" w:rsidRDefault="003F4653"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color w:val="000000"/>
                <w:sz w:val="18"/>
                <w:szCs w:val="18"/>
              </w:rPr>
              <w:t>+</w:t>
            </w:r>
            <w:r w:rsidR="00340297">
              <w:rPr>
                <w:rFonts w:ascii="Arial" w:hAnsi="Arial" w:cs="Arial"/>
                <w:b/>
                <w:bCs/>
                <w:color w:val="000000"/>
                <w:sz w:val="18"/>
                <w:szCs w:val="18"/>
              </w:rPr>
              <w:t>13.9</w:t>
            </w:r>
            <w:r w:rsidR="009A7D70" w:rsidRPr="009A7D70">
              <w:rPr>
                <w:rFonts w:ascii="Arial" w:hAnsi="Arial" w:cs="Arial"/>
                <w:b/>
                <w:bCs/>
                <w:color w:val="000000"/>
                <w:sz w:val="18"/>
                <w:szCs w:val="18"/>
              </w:rPr>
              <w:t>%</w:t>
            </w:r>
          </w:p>
        </w:tc>
        <w:tc>
          <w:tcPr>
            <w:tcW w:w="1485" w:type="dxa"/>
            <w:tcBorders>
              <w:right w:val="single" w:sz="4" w:space="0" w:color="31849B" w:themeColor="accent5" w:themeShade="BF"/>
            </w:tcBorders>
            <w:vAlign w:val="center"/>
          </w:tcPr>
          <w:p w14:paraId="70F04E03" w14:textId="70301C99" w:rsidR="009A7D70" w:rsidRPr="009A7D70" w:rsidRDefault="00340297"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color w:val="000000"/>
                <w:sz w:val="18"/>
                <w:szCs w:val="18"/>
              </w:rPr>
              <w:t>+2.7</w:t>
            </w:r>
            <w:r w:rsidR="009A7D70" w:rsidRPr="009A7D70">
              <w:rPr>
                <w:rFonts w:ascii="Arial" w:hAnsi="Arial" w:cs="Arial"/>
                <w:b/>
                <w:bCs/>
                <w:color w:val="000000"/>
                <w:sz w:val="18"/>
                <w:szCs w:val="18"/>
              </w:rPr>
              <w:t>%</w:t>
            </w:r>
          </w:p>
        </w:tc>
        <w:tc>
          <w:tcPr>
            <w:tcW w:w="1485" w:type="dxa"/>
            <w:gridSpan w:val="2"/>
            <w:tcBorders>
              <w:left w:val="single" w:sz="4" w:space="0" w:color="31849B" w:themeColor="accent5" w:themeShade="BF"/>
            </w:tcBorders>
            <w:vAlign w:val="center"/>
          </w:tcPr>
          <w:p w14:paraId="4DEDCF96" w14:textId="42E9A1EA" w:rsidR="009A7D70" w:rsidRPr="009A7D70" w:rsidRDefault="003F4653"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color w:val="000000"/>
                <w:sz w:val="18"/>
                <w:szCs w:val="18"/>
              </w:rPr>
              <w:t>$</w:t>
            </w:r>
            <w:r w:rsidR="00340297">
              <w:rPr>
                <w:rFonts w:ascii="Arial" w:hAnsi="Arial" w:cs="Arial"/>
                <w:b/>
                <w:bCs/>
                <w:color w:val="000000"/>
                <w:sz w:val="18"/>
                <w:szCs w:val="18"/>
              </w:rPr>
              <w:t>3.6</w:t>
            </w:r>
            <w:r w:rsidR="009A7D70" w:rsidRPr="009A7D70">
              <w:rPr>
                <w:rFonts w:ascii="Arial" w:hAnsi="Arial" w:cs="Arial"/>
                <w:b/>
                <w:bCs/>
                <w:color w:val="000000"/>
                <w:sz w:val="18"/>
                <w:szCs w:val="18"/>
              </w:rPr>
              <w:t>B</w:t>
            </w:r>
          </w:p>
        </w:tc>
        <w:tc>
          <w:tcPr>
            <w:tcW w:w="1485" w:type="dxa"/>
            <w:vAlign w:val="center"/>
          </w:tcPr>
          <w:p w14:paraId="37418921" w14:textId="42672BDC" w:rsidR="009A7D70" w:rsidRPr="009A7D70" w:rsidRDefault="003F4653"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color w:val="000000"/>
                <w:sz w:val="18"/>
                <w:szCs w:val="18"/>
              </w:rPr>
              <w:t>+</w:t>
            </w:r>
            <w:r w:rsidR="00340297">
              <w:rPr>
                <w:rFonts w:ascii="Arial" w:hAnsi="Arial" w:cs="Arial"/>
                <w:b/>
                <w:bCs/>
                <w:color w:val="000000"/>
                <w:sz w:val="18"/>
                <w:szCs w:val="18"/>
              </w:rPr>
              <w:t>6.7</w:t>
            </w:r>
            <w:r w:rsidR="009A7D70" w:rsidRPr="009A7D70">
              <w:rPr>
                <w:rFonts w:ascii="Arial" w:hAnsi="Arial" w:cs="Arial"/>
                <w:b/>
                <w:bCs/>
                <w:color w:val="000000"/>
                <w:sz w:val="18"/>
                <w:szCs w:val="18"/>
              </w:rPr>
              <w:t>%</w:t>
            </w:r>
          </w:p>
        </w:tc>
        <w:tc>
          <w:tcPr>
            <w:tcW w:w="1485" w:type="dxa"/>
            <w:vAlign w:val="center"/>
          </w:tcPr>
          <w:p w14:paraId="68369672" w14:textId="038F1AFA" w:rsidR="009A7D70" w:rsidRPr="009A7D7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color w:val="000000"/>
                <w:sz w:val="18"/>
                <w:szCs w:val="18"/>
              </w:rPr>
              <w:t>+</w:t>
            </w:r>
            <w:r w:rsidR="00340297">
              <w:rPr>
                <w:rFonts w:ascii="Arial" w:hAnsi="Arial" w:cs="Arial"/>
                <w:b/>
                <w:bCs/>
                <w:color w:val="000000"/>
                <w:sz w:val="18"/>
                <w:szCs w:val="18"/>
              </w:rPr>
              <w:t>1.7</w:t>
            </w:r>
            <w:r w:rsidR="009A7D70" w:rsidRPr="009A7D70">
              <w:rPr>
                <w:rFonts w:ascii="Arial" w:hAnsi="Arial" w:cs="Arial"/>
                <w:b/>
                <w:bCs/>
                <w:color w:val="000000"/>
                <w:sz w:val="18"/>
                <w:szCs w:val="18"/>
              </w:rPr>
              <w:t>%</w:t>
            </w:r>
          </w:p>
        </w:tc>
      </w:tr>
      <w:tr w:rsidR="003F4653" w:rsidRPr="00AD60E2" w14:paraId="5340B729" w14:textId="77777777" w:rsidTr="003F465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3F4653" w:rsidRPr="009A7D70" w:rsidRDefault="003F4653" w:rsidP="003F4653">
            <w:pPr>
              <w:pStyle w:val="NoSpacing"/>
              <w:rPr>
                <w:rFonts w:ascii="Arial" w:hAnsi="Arial" w:cs="Arial"/>
                <w:b w:val="0"/>
                <w:bCs w:val="0"/>
                <w:sz w:val="18"/>
                <w:szCs w:val="18"/>
              </w:rPr>
            </w:pPr>
            <w:r w:rsidRPr="009A7D70">
              <w:rPr>
                <w:rFonts w:ascii="Arial" w:eastAsia="Times New Roman" w:hAnsi="Arial" w:cs="Arial"/>
                <w:b w:val="0"/>
                <w:sz w:val="18"/>
                <w:szCs w:val="18"/>
              </w:rPr>
              <w:t>Ambient tuna</w:t>
            </w:r>
          </w:p>
        </w:tc>
        <w:tc>
          <w:tcPr>
            <w:tcW w:w="1485" w:type="dxa"/>
          </w:tcPr>
          <w:p w14:paraId="467B2EF3" w14:textId="46387CE7" w:rsidR="003F4653" w:rsidRPr="009A7D70"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40BBB">
              <w:rPr>
                <w:rFonts w:ascii="Arial" w:eastAsia="Times New Roman" w:hAnsi="Arial" w:cs="Arial"/>
                <w:sz w:val="18"/>
                <w:szCs w:val="18"/>
              </w:rPr>
              <w:t>$</w:t>
            </w:r>
            <w:r w:rsidR="00340297">
              <w:rPr>
                <w:rFonts w:ascii="Arial" w:eastAsia="Times New Roman" w:hAnsi="Arial" w:cs="Arial"/>
                <w:sz w:val="18"/>
                <w:szCs w:val="18"/>
              </w:rPr>
              <w:t>204.3</w:t>
            </w:r>
            <w:r w:rsidRPr="00C40BBB">
              <w:rPr>
                <w:rFonts w:ascii="Arial" w:eastAsia="Times New Roman" w:hAnsi="Arial" w:cs="Arial"/>
                <w:sz w:val="18"/>
                <w:szCs w:val="18"/>
              </w:rPr>
              <w:t>M</w:t>
            </w:r>
          </w:p>
        </w:tc>
        <w:tc>
          <w:tcPr>
            <w:tcW w:w="1485" w:type="dxa"/>
          </w:tcPr>
          <w:p w14:paraId="7EC4F086" w14:textId="6591EC2F" w:rsidR="003F4653" w:rsidRPr="009A7D70"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D7354">
              <w:rPr>
                <w:rFonts w:ascii="Arial" w:hAnsi="Arial" w:cs="Arial"/>
                <w:color w:val="000000"/>
                <w:sz w:val="18"/>
                <w:szCs w:val="18"/>
              </w:rPr>
              <w:t>+</w:t>
            </w:r>
            <w:r w:rsidR="00340297">
              <w:rPr>
                <w:rFonts w:ascii="Arial" w:hAnsi="Arial" w:cs="Arial"/>
                <w:color w:val="000000"/>
                <w:sz w:val="18"/>
                <w:szCs w:val="18"/>
              </w:rPr>
              <w:t>7.3</w:t>
            </w:r>
            <w:r w:rsidRPr="00CD7354">
              <w:rPr>
                <w:rFonts w:ascii="Arial" w:hAnsi="Arial" w:cs="Arial"/>
                <w:color w:val="000000"/>
                <w:sz w:val="18"/>
                <w:szCs w:val="18"/>
              </w:rPr>
              <w:t>%</w:t>
            </w:r>
          </w:p>
        </w:tc>
        <w:tc>
          <w:tcPr>
            <w:tcW w:w="1485" w:type="dxa"/>
            <w:tcBorders>
              <w:right w:val="single" w:sz="4" w:space="0" w:color="31849B" w:themeColor="accent5" w:themeShade="BF"/>
            </w:tcBorders>
            <w:vAlign w:val="center"/>
          </w:tcPr>
          <w:p w14:paraId="644C331F" w14:textId="2E49A67E" w:rsidR="003F4653" w:rsidRPr="009A7D70"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340297">
              <w:rPr>
                <w:rFonts w:ascii="Arial" w:hAnsi="Arial" w:cs="Arial"/>
                <w:color w:val="000000"/>
                <w:sz w:val="18"/>
                <w:szCs w:val="18"/>
              </w:rPr>
              <w:t>2.5</w:t>
            </w:r>
            <w:r w:rsidRPr="009A7D70">
              <w:rPr>
                <w:rFonts w:ascii="Arial" w:hAnsi="Arial" w:cs="Arial"/>
                <w:color w:val="000000"/>
                <w:sz w:val="18"/>
                <w:szCs w:val="18"/>
              </w:rPr>
              <w:t>%</w:t>
            </w:r>
          </w:p>
        </w:tc>
        <w:tc>
          <w:tcPr>
            <w:tcW w:w="1485" w:type="dxa"/>
            <w:gridSpan w:val="2"/>
            <w:tcBorders>
              <w:left w:val="single" w:sz="4" w:space="0" w:color="31849B" w:themeColor="accent5" w:themeShade="BF"/>
            </w:tcBorders>
            <w:vAlign w:val="center"/>
          </w:tcPr>
          <w:p w14:paraId="5A522292" w14:textId="2D2BFB28" w:rsidR="003F4653" w:rsidRPr="009A7D70"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00C85A0C">
              <w:rPr>
                <w:rFonts w:ascii="Arial" w:hAnsi="Arial" w:cs="Arial"/>
                <w:color w:val="000000"/>
                <w:sz w:val="18"/>
                <w:szCs w:val="18"/>
              </w:rPr>
              <w:t>2.5</w:t>
            </w:r>
            <w:r>
              <w:rPr>
                <w:rFonts w:ascii="Arial" w:hAnsi="Arial" w:cs="Arial"/>
                <w:color w:val="000000"/>
                <w:sz w:val="18"/>
                <w:szCs w:val="18"/>
              </w:rPr>
              <w:t>B</w:t>
            </w:r>
          </w:p>
        </w:tc>
        <w:tc>
          <w:tcPr>
            <w:tcW w:w="1485" w:type="dxa"/>
          </w:tcPr>
          <w:p w14:paraId="1C0533FA" w14:textId="4149DB44" w:rsidR="003F4653" w:rsidRPr="009A7D70"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22E0">
              <w:rPr>
                <w:rFonts w:ascii="Arial" w:hAnsi="Arial" w:cs="Arial"/>
                <w:color w:val="000000"/>
                <w:sz w:val="18"/>
                <w:szCs w:val="18"/>
              </w:rPr>
              <w:t>+</w:t>
            </w:r>
            <w:r w:rsidR="00C85A0C">
              <w:rPr>
                <w:rFonts w:ascii="Arial" w:hAnsi="Arial" w:cs="Arial"/>
                <w:color w:val="000000"/>
                <w:sz w:val="18"/>
                <w:szCs w:val="18"/>
              </w:rPr>
              <w:t>3.2</w:t>
            </w:r>
            <w:r w:rsidRPr="00D422E0">
              <w:rPr>
                <w:rFonts w:ascii="Arial" w:hAnsi="Arial" w:cs="Arial"/>
                <w:color w:val="000000"/>
                <w:sz w:val="18"/>
                <w:szCs w:val="18"/>
              </w:rPr>
              <w:t>%</w:t>
            </w:r>
          </w:p>
        </w:tc>
        <w:tc>
          <w:tcPr>
            <w:tcW w:w="1485" w:type="dxa"/>
          </w:tcPr>
          <w:p w14:paraId="0EA7B7BE" w14:textId="655F86B7" w:rsidR="003F4653" w:rsidRPr="009A7D70" w:rsidRDefault="00C85A0C"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-0.3</w:t>
            </w:r>
            <w:r w:rsidR="003F4653" w:rsidRPr="00D422E0">
              <w:rPr>
                <w:rFonts w:ascii="Arial" w:hAnsi="Arial" w:cs="Arial"/>
                <w:color w:val="000000"/>
                <w:sz w:val="18"/>
                <w:szCs w:val="18"/>
              </w:rPr>
              <w:t>%</w:t>
            </w:r>
          </w:p>
        </w:tc>
      </w:tr>
      <w:tr w:rsidR="003F4653" w:rsidRPr="00AD60E2" w14:paraId="74D7EA47" w14:textId="77777777" w:rsidTr="003F4653">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44D7098" w14:textId="77777777" w:rsidR="003F4653" w:rsidRPr="009A7D70" w:rsidRDefault="003F4653" w:rsidP="003F4653">
            <w:pPr>
              <w:pStyle w:val="NoSpacing"/>
              <w:rPr>
                <w:rFonts w:ascii="Arial" w:hAnsi="Arial" w:cs="Arial"/>
                <w:b w:val="0"/>
                <w:bCs w:val="0"/>
                <w:sz w:val="18"/>
                <w:szCs w:val="18"/>
              </w:rPr>
            </w:pPr>
            <w:r w:rsidRPr="009A7D70">
              <w:rPr>
                <w:rFonts w:ascii="Arial" w:eastAsia="Times New Roman" w:hAnsi="Arial" w:cs="Arial"/>
                <w:b w:val="0"/>
                <w:sz w:val="18"/>
                <w:szCs w:val="18"/>
              </w:rPr>
              <w:t>Ambient sardines</w:t>
            </w:r>
          </w:p>
        </w:tc>
        <w:tc>
          <w:tcPr>
            <w:tcW w:w="1485" w:type="dxa"/>
          </w:tcPr>
          <w:p w14:paraId="69E554BA" w14:textId="4C177343" w:rsidR="003F4653" w:rsidRPr="009A7D7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C40BBB">
              <w:rPr>
                <w:rFonts w:ascii="Arial" w:eastAsia="Times New Roman" w:hAnsi="Arial" w:cs="Arial"/>
                <w:sz w:val="18"/>
                <w:szCs w:val="18"/>
              </w:rPr>
              <w:t>$</w:t>
            </w:r>
            <w:r w:rsidR="00340297">
              <w:rPr>
                <w:rFonts w:ascii="Arial" w:eastAsia="Times New Roman" w:hAnsi="Arial" w:cs="Arial"/>
                <w:sz w:val="18"/>
                <w:szCs w:val="18"/>
              </w:rPr>
              <w:t>41.1</w:t>
            </w:r>
            <w:r w:rsidRPr="00C40BBB">
              <w:rPr>
                <w:rFonts w:ascii="Arial" w:eastAsia="Times New Roman" w:hAnsi="Arial" w:cs="Arial"/>
                <w:sz w:val="18"/>
                <w:szCs w:val="18"/>
              </w:rPr>
              <w:t>M</w:t>
            </w:r>
          </w:p>
        </w:tc>
        <w:tc>
          <w:tcPr>
            <w:tcW w:w="1485" w:type="dxa"/>
          </w:tcPr>
          <w:p w14:paraId="1DF057C9" w14:textId="1A4759B6" w:rsidR="003F4653" w:rsidRPr="009A7D7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CD7354">
              <w:rPr>
                <w:rFonts w:ascii="Arial" w:hAnsi="Arial" w:cs="Arial"/>
                <w:color w:val="000000"/>
                <w:sz w:val="18"/>
                <w:szCs w:val="18"/>
              </w:rPr>
              <w:t>+</w:t>
            </w:r>
            <w:r w:rsidR="00340297">
              <w:rPr>
                <w:rFonts w:ascii="Arial" w:hAnsi="Arial" w:cs="Arial"/>
                <w:color w:val="000000"/>
                <w:sz w:val="18"/>
                <w:szCs w:val="18"/>
              </w:rPr>
              <w:t>63.0</w:t>
            </w:r>
            <w:r w:rsidRPr="00CD7354">
              <w:rPr>
                <w:rFonts w:ascii="Arial" w:hAnsi="Arial" w:cs="Arial"/>
                <w:color w:val="000000"/>
                <w:sz w:val="18"/>
                <w:szCs w:val="18"/>
              </w:rPr>
              <w:t>%</w:t>
            </w:r>
          </w:p>
        </w:tc>
        <w:tc>
          <w:tcPr>
            <w:tcW w:w="1485" w:type="dxa"/>
            <w:tcBorders>
              <w:right w:val="single" w:sz="4" w:space="0" w:color="31849B" w:themeColor="accent5" w:themeShade="BF"/>
            </w:tcBorders>
            <w:vAlign w:val="center"/>
          </w:tcPr>
          <w:p w14:paraId="2864894C" w14:textId="52D87C84" w:rsidR="003F4653" w:rsidRPr="009A7D70" w:rsidRDefault="00340297"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+38.9</w:t>
            </w:r>
            <w:r w:rsidR="003F4653" w:rsidRPr="009A7D70">
              <w:rPr>
                <w:rFonts w:ascii="Arial" w:hAnsi="Arial" w:cs="Arial"/>
                <w:color w:val="000000"/>
                <w:sz w:val="18"/>
                <w:szCs w:val="18"/>
              </w:rPr>
              <w:t>%</w:t>
            </w:r>
          </w:p>
        </w:tc>
        <w:tc>
          <w:tcPr>
            <w:tcW w:w="1485" w:type="dxa"/>
            <w:gridSpan w:val="2"/>
            <w:tcBorders>
              <w:left w:val="single" w:sz="4" w:space="0" w:color="31849B" w:themeColor="accent5" w:themeShade="BF"/>
            </w:tcBorders>
          </w:tcPr>
          <w:p w14:paraId="33F3E2D4" w14:textId="1B752DA8" w:rsidR="003F4653" w:rsidRPr="009A7D7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427E2">
              <w:rPr>
                <w:rFonts w:ascii="Arial" w:eastAsia="Times New Roman" w:hAnsi="Arial" w:cs="Arial"/>
                <w:sz w:val="18"/>
                <w:szCs w:val="18"/>
              </w:rPr>
              <w:t>$</w:t>
            </w:r>
            <w:r w:rsidR="00C85A0C">
              <w:rPr>
                <w:rFonts w:ascii="Arial" w:eastAsia="Times New Roman" w:hAnsi="Arial" w:cs="Arial"/>
                <w:sz w:val="18"/>
                <w:szCs w:val="18"/>
              </w:rPr>
              <w:t>401.4</w:t>
            </w:r>
            <w:r w:rsidRPr="005427E2">
              <w:rPr>
                <w:rFonts w:ascii="Arial" w:eastAsia="Times New Roman" w:hAnsi="Arial" w:cs="Arial"/>
                <w:sz w:val="18"/>
                <w:szCs w:val="18"/>
              </w:rPr>
              <w:t>M</w:t>
            </w:r>
          </w:p>
        </w:tc>
        <w:tc>
          <w:tcPr>
            <w:tcW w:w="1485" w:type="dxa"/>
          </w:tcPr>
          <w:p w14:paraId="2E51BE07" w14:textId="508BDA7A" w:rsidR="003F4653" w:rsidRPr="009A7D7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2E0">
              <w:rPr>
                <w:rFonts w:ascii="Arial" w:hAnsi="Arial" w:cs="Arial"/>
                <w:color w:val="000000"/>
                <w:sz w:val="18"/>
                <w:szCs w:val="18"/>
              </w:rPr>
              <w:t>+</w:t>
            </w:r>
            <w:r w:rsidR="00C85A0C">
              <w:rPr>
                <w:rFonts w:ascii="Arial" w:hAnsi="Arial" w:cs="Arial"/>
                <w:color w:val="000000"/>
                <w:sz w:val="18"/>
                <w:szCs w:val="18"/>
              </w:rPr>
              <w:t>28.1</w:t>
            </w:r>
            <w:r w:rsidRPr="00D422E0">
              <w:rPr>
                <w:rFonts w:ascii="Arial" w:hAnsi="Arial" w:cs="Arial"/>
                <w:color w:val="000000"/>
                <w:sz w:val="18"/>
                <w:szCs w:val="18"/>
              </w:rPr>
              <w:t>%</w:t>
            </w:r>
          </w:p>
        </w:tc>
        <w:tc>
          <w:tcPr>
            <w:tcW w:w="1485" w:type="dxa"/>
          </w:tcPr>
          <w:p w14:paraId="10F3D24F" w14:textId="2D8DB2E9" w:rsidR="003F4653" w:rsidRPr="009A7D7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2E0">
              <w:rPr>
                <w:rFonts w:ascii="Arial" w:hAnsi="Arial" w:cs="Arial"/>
                <w:color w:val="000000"/>
                <w:sz w:val="18"/>
                <w:szCs w:val="18"/>
              </w:rPr>
              <w:t>+</w:t>
            </w:r>
            <w:r w:rsidR="00C85A0C">
              <w:rPr>
                <w:rFonts w:ascii="Arial" w:hAnsi="Arial" w:cs="Arial"/>
                <w:color w:val="000000"/>
                <w:sz w:val="18"/>
                <w:szCs w:val="18"/>
              </w:rPr>
              <w:t>15.8</w:t>
            </w:r>
            <w:r w:rsidRPr="00D422E0">
              <w:rPr>
                <w:rFonts w:ascii="Arial" w:hAnsi="Arial" w:cs="Arial"/>
                <w:color w:val="000000"/>
                <w:sz w:val="18"/>
                <w:szCs w:val="18"/>
              </w:rPr>
              <w:t>%</w:t>
            </w:r>
          </w:p>
        </w:tc>
      </w:tr>
      <w:tr w:rsidR="003F4653" w:rsidRPr="00AD60E2" w14:paraId="0A870DB6" w14:textId="77777777" w:rsidTr="003F465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A198233" w:rsidR="003F4653" w:rsidRPr="009A7D70" w:rsidRDefault="003F4653" w:rsidP="003F4653">
            <w:pPr>
              <w:pStyle w:val="NoSpacing"/>
              <w:rPr>
                <w:rFonts w:ascii="Arial" w:hAnsi="Arial" w:cs="Arial"/>
                <w:b w:val="0"/>
                <w:bCs w:val="0"/>
                <w:sz w:val="18"/>
                <w:szCs w:val="18"/>
              </w:rPr>
            </w:pPr>
            <w:r w:rsidRPr="009A7D70">
              <w:rPr>
                <w:rFonts w:ascii="Arial" w:eastAsia="Times New Roman" w:hAnsi="Arial" w:cs="Arial"/>
                <w:b w:val="0"/>
                <w:sz w:val="18"/>
                <w:szCs w:val="18"/>
              </w:rPr>
              <w:t>Ambient salmon</w:t>
            </w:r>
          </w:p>
        </w:tc>
        <w:tc>
          <w:tcPr>
            <w:tcW w:w="1485" w:type="dxa"/>
          </w:tcPr>
          <w:p w14:paraId="2A2643AA" w14:textId="7E6210E0" w:rsidR="003F4653" w:rsidRPr="009A7D70"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40BBB">
              <w:rPr>
                <w:rFonts w:ascii="Arial" w:eastAsia="Times New Roman" w:hAnsi="Arial" w:cs="Arial"/>
                <w:sz w:val="18"/>
                <w:szCs w:val="18"/>
              </w:rPr>
              <w:t>$</w:t>
            </w:r>
            <w:r w:rsidR="00340297">
              <w:rPr>
                <w:rFonts w:ascii="Arial" w:eastAsia="Times New Roman" w:hAnsi="Arial" w:cs="Arial"/>
                <w:sz w:val="18"/>
                <w:szCs w:val="18"/>
              </w:rPr>
              <w:t>26.2</w:t>
            </w:r>
            <w:r w:rsidRPr="00C40BBB">
              <w:rPr>
                <w:rFonts w:ascii="Arial" w:eastAsia="Times New Roman" w:hAnsi="Arial" w:cs="Arial"/>
                <w:sz w:val="18"/>
                <w:szCs w:val="18"/>
              </w:rPr>
              <w:t>M</w:t>
            </w:r>
          </w:p>
        </w:tc>
        <w:tc>
          <w:tcPr>
            <w:tcW w:w="1485" w:type="dxa"/>
          </w:tcPr>
          <w:p w14:paraId="18FEA342" w14:textId="7253C60D" w:rsidR="003F4653" w:rsidRPr="009A7D70"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D7354">
              <w:rPr>
                <w:rFonts w:ascii="Arial" w:hAnsi="Arial" w:cs="Arial"/>
                <w:color w:val="000000"/>
                <w:sz w:val="18"/>
                <w:szCs w:val="18"/>
              </w:rPr>
              <w:t>+</w:t>
            </w:r>
            <w:r w:rsidR="00340297">
              <w:rPr>
                <w:rFonts w:ascii="Arial" w:hAnsi="Arial" w:cs="Arial"/>
                <w:color w:val="000000"/>
                <w:sz w:val="18"/>
                <w:szCs w:val="18"/>
              </w:rPr>
              <w:t>11.6</w:t>
            </w:r>
            <w:r w:rsidRPr="00CD7354">
              <w:rPr>
                <w:rFonts w:ascii="Arial" w:hAnsi="Arial" w:cs="Arial"/>
                <w:color w:val="000000"/>
                <w:sz w:val="18"/>
                <w:szCs w:val="18"/>
              </w:rPr>
              <w:t>%</w:t>
            </w:r>
          </w:p>
        </w:tc>
        <w:tc>
          <w:tcPr>
            <w:tcW w:w="1485" w:type="dxa"/>
            <w:tcBorders>
              <w:right w:val="single" w:sz="4" w:space="0" w:color="31849B" w:themeColor="accent5" w:themeShade="BF"/>
            </w:tcBorders>
            <w:vAlign w:val="center"/>
          </w:tcPr>
          <w:p w14:paraId="7BC9CDED" w14:textId="1AFA6F85" w:rsidR="003F4653" w:rsidRPr="009A7D70"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340297">
              <w:rPr>
                <w:rFonts w:ascii="Arial" w:hAnsi="Arial" w:cs="Arial"/>
                <w:color w:val="000000"/>
                <w:sz w:val="18"/>
                <w:szCs w:val="18"/>
              </w:rPr>
              <w:t>5.5</w:t>
            </w:r>
            <w:r w:rsidRPr="009A7D70">
              <w:rPr>
                <w:rFonts w:ascii="Arial" w:hAnsi="Arial" w:cs="Arial"/>
                <w:color w:val="000000"/>
                <w:sz w:val="18"/>
                <w:szCs w:val="18"/>
              </w:rPr>
              <w:t>%</w:t>
            </w:r>
          </w:p>
        </w:tc>
        <w:tc>
          <w:tcPr>
            <w:tcW w:w="1485" w:type="dxa"/>
            <w:gridSpan w:val="2"/>
            <w:tcBorders>
              <w:left w:val="single" w:sz="4" w:space="0" w:color="31849B" w:themeColor="accent5" w:themeShade="BF"/>
            </w:tcBorders>
          </w:tcPr>
          <w:p w14:paraId="07EDEAB9" w14:textId="3DF523A4" w:rsidR="003F4653" w:rsidRPr="009A7D70"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427E2">
              <w:rPr>
                <w:rFonts w:ascii="Arial" w:eastAsia="Times New Roman" w:hAnsi="Arial" w:cs="Arial"/>
                <w:sz w:val="18"/>
                <w:szCs w:val="18"/>
              </w:rPr>
              <w:t>$</w:t>
            </w:r>
            <w:r w:rsidR="00C85A0C">
              <w:rPr>
                <w:rFonts w:ascii="Arial" w:eastAsia="Times New Roman" w:hAnsi="Arial" w:cs="Arial"/>
                <w:sz w:val="18"/>
                <w:szCs w:val="18"/>
              </w:rPr>
              <w:t>316.1</w:t>
            </w:r>
            <w:r w:rsidRPr="005427E2">
              <w:rPr>
                <w:rFonts w:ascii="Arial" w:eastAsia="Times New Roman" w:hAnsi="Arial" w:cs="Arial"/>
                <w:sz w:val="18"/>
                <w:szCs w:val="18"/>
              </w:rPr>
              <w:t>M</w:t>
            </w:r>
          </w:p>
        </w:tc>
        <w:tc>
          <w:tcPr>
            <w:tcW w:w="1485" w:type="dxa"/>
          </w:tcPr>
          <w:p w14:paraId="4D5264CB" w14:textId="6CD44CA5" w:rsidR="003F4653" w:rsidRPr="009A7D70"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22E0">
              <w:rPr>
                <w:rFonts w:ascii="Arial" w:hAnsi="Arial" w:cs="Arial"/>
                <w:color w:val="000000"/>
                <w:sz w:val="18"/>
                <w:szCs w:val="18"/>
              </w:rPr>
              <w:t>+</w:t>
            </w:r>
            <w:r w:rsidR="00C85A0C">
              <w:rPr>
                <w:rFonts w:ascii="Arial" w:hAnsi="Arial" w:cs="Arial"/>
                <w:color w:val="000000"/>
                <w:sz w:val="18"/>
                <w:szCs w:val="18"/>
              </w:rPr>
              <w:t>9.3</w:t>
            </w:r>
            <w:r w:rsidRPr="00D422E0">
              <w:rPr>
                <w:rFonts w:ascii="Arial" w:hAnsi="Arial" w:cs="Arial"/>
                <w:color w:val="000000"/>
                <w:sz w:val="18"/>
                <w:szCs w:val="18"/>
              </w:rPr>
              <w:t>%</w:t>
            </w:r>
          </w:p>
        </w:tc>
        <w:tc>
          <w:tcPr>
            <w:tcW w:w="1485" w:type="dxa"/>
          </w:tcPr>
          <w:p w14:paraId="6CF19251" w14:textId="745C4292" w:rsidR="003F4653" w:rsidRPr="009A7D70"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422E0">
              <w:rPr>
                <w:rFonts w:ascii="Arial" w:hAnsi="Arial" w:cs="Arial"/>
                <w:color w:val="000000"/>
                <w:sz w:val="18"/>
                <w:szCs w:val="18"/>
              </w:rPr>
              <w:t>+</w:t>
            </w:r>
            <w:r w:rsidR="00C85A0C">
              <w:rPr>
                <w:rFonts w:ascii="Arial" w:hAnsi="Arial" w:cs="Arial"/>
                <w:color w:val="000000"/>
                <w:sz w:val="18"/>
                <w:szCs w:val="18"/>
              </w:rPr>
              <w:t>4.0</w:t>
            </w:r>
            <w:r w:rsidRPr="00D422E0">
              <w:rPr>
                <w:rFonts w:ascii="Arial" w:hAnsi="Arial" w:cs="Arial"/>
                <w:color w:val="000000"/>
                <w:sz w:val="18"/>
                <w:szCs w:val="18"/>
              </w:rPr>
              <w:t>%</w:t>
            </w:r>
          </w:p>
        </w:tc>
      </w:tr>
      <w:tr w:rsidR="003F4653" w:rsidRPr="00AD60E2" w14:paraId="0DCD14DB" w14:textId="77777777" w:rsidTr="003F4653">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3F4653" w:rsidRPr="009A7D70" w:rsidRDefault="003F4653" w:rsidP="003F4653">
            <w:pPr>
              <w:pStyle w:val="NoSpacing"/>
              <w:rPr>
                <w:rFonts w:ascii="Arial" w:hAnsi="Arial" w:cs="Arial"/>
                <w:b w:val="0"/>
                <w:bCs w:val="0"/>
                <w:sz w:val="18"/>
                <w:szCs w:val="18"/>
              </w:rPr>
            </w:pPr>
            <w:r w:rsidRPr="009A7D70">
              <w:rPr>
                <w:rFonts w:ascii="Arial" w:eastAsia="Times New Roman" w:hAnsi="Arial" w:cs="Arial"/>
                <w:b w:val="0"/>
                <w:bCs w:val="0"/>
                <w:sz w:val="18"/>
                <w:szCs w:val="18"/>
              </w:rPr>
              <w:t>Ambient all other</w:t>
            </w:r>
          </w:p>
        </w:tc>
        <w:tc>
          <w:tcPr>
            <w:tcW w:w="1485" w:type="dxa"/>
          </w:tcPr>
          <w:p w14:paraId="6F3E0385" w14:textId="53E74F47" w:rsidR="003F4653" w:rsidRPr="009A7D7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C40BBB">
              <w:rPr>
                <w:rFonts w:ascii="Arial" w:eastAsia="Times New Roman" w:hAnsi="Arial" w:cs="Arial"/>
                <w:sz w:val="18"/>
                <w:szCs w:val="18"/>
              </w:rPr>
              <w:t>$</w:t>
            </w:r>
            <w:r w:rsidR="00C85A0C">
              <w:rPr>
                <w:rFonts w:ascii="Arial" w:eastAsia="Times New Roman" w:hAnsi="Arial" w:cs="Arial"/>
                <w:sz w:val="18"/>
                <w:szCs w:val="18"/>
              </w:rPr>
              <w:t>27.4</w:t>
            </w:r>
            <w:r w:rsidRPr="00C40BBB">
              <w:rPr>
                <w:rFonts w:ascii="Arial" w:eastAsia="Times New Roman" w:hAnsi="Arial" w:cs="Arial"/>
                <w:sz w:val="18"/>
                <w:szCs w:val="18"/>
              </w:rPr>
              <w:t>M</w:t>
            </w:r>
          </w:p>
        </w:tc>
        <w:tc>
          <w:tcPr>
            <w:tcW w:w="1485" w:type="dxa"/>
          </w:tcPr>
          <w:p w14:paraId="3919FBA1" w14:textId="269C6C26" w:rsidR="003F4653" w:rsidRPr="009A7D7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CD7354">
              <w:rPr>
                <w:rFonts w:ascii="Arial" w:hAnsi="Arial" w:cs="Arial"/>
                <w:color w:val="000000"/>
                <w:sz w:val="18"/>
                <w:szCs w:val="18"/>
              </w:rPr>
              <w:t>+</w:t>
            </w:r>
            <w:r w:rsidR="00C85A0C">
              <w:rPr>
                <w:rFonts w:ascii="Arial" w:hAnsi="Arial" w:cs="Arial"/>
                <w:color w:val="000000"/>
                <w:sz w:val="18"/>
                <w:szCs w:val="18"/>
              </w:rPr>
              <w:t>20.2</w:t>
            </w:r>
            <w:r w:rsidRPr="00CD7354">
              <w:rPr>
                <w:rFonts w:ascii="Arial" w:hAnsi="Arial" w:cs="Arial"/>
                <w:color w:val="000000"/>
                <w:sz w:val="18"/>
                <w:szCs w:val="18"/>
              </w:rPr>
              <w:t>%</w:t>
            </w:r>
          </w:p>
        </w:tc>
        <w:tc>
          <w:tcPr>
            <w:tcW w:w="1485" w:type="dxa"/>
            <w:tcBorders>
              <w:right w:val="single" w:sz="4" w:space="0" w:color="31849B" w:themeColor="accent5" w:themeShade="BF"/>
            </w:tcBorders>
            <w:vAlign w:val="center"/>
          </w:tcPr>
          <w:p w14:paraId="34D72223" w14:textId="430FF243" w:rsidR="003F4653" w:rsidRPr="009A7D7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00C85A0C">
              <w:rPr>
                <w:rFonts w:ascii="Arial" w:hAnsi="Arial" w:cs="Arial"/>
                <w:color w:val="000000"/>
                <w:sz w:val="18"/>
                <w:szCs w:val="18"/>
              </w:rPr>
              <w:t>1.4</w:t>
            </w:r>
            <w:r w:rsidRPr="009A7D70">
              <w:rPr>
                <w:rFonts w:ascii="Arial" w:hAnsi="Arial" w:cs="Arial"/>
                <w:color w:val="000000"/>
                <w:sz w:val="18"/>
                <w:szCs w:val="18"/>
              </w:rPr>
              <w:t>%</w:t>
            </w:r>
          </w:p>
        </w:tc>
        <w:tc>
          <w:tcPr>
            <w:tcW w:w="1485" w:type="dxa"/>
            <w:gridSpan w:val="2"/>
            <w:tcBorders>
              <w:left w:val="single" w:sz="4" w:space="0" w:color="31849B" w:themeColor="accent5" w:themeShade="BF"/>
            </w:tcBorders>
          </w:tcPr>
          <w:p w14:paraId="3C45599A" w14:textId="42479D7D" w:rsidR="003F4653" w:rsidRPr="009A7D7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427E2">
              <w:rPr>
                <w:rFonts w:ascii="Arial" w:eastAsia="Times New Roman" w:hAnsi="Arial" w:cs="Arial"/>
                <w:sz w:val="18"/>
                <w:szCs w:val="18"/>
              </w:rPr>
              <w:t>$</w:t>
            </w:r>
            <w:r w:rsidR="00C85A0C">
              <w:rPr>
                <w:rFonts w:ascii="Arial" w:eastAsia="Times New Roman" w:hAnsi="Arial" w:cs="Arial"/>
                <w:sz w:val="18"/>
                <w:szCs w:val="18"/>
              </w:rPr>
              <w:t>309.9</w:t>
            </w:r>
            <w:r w:rsidRPr="005427E2">
              <w:rPr>
                <w:rFonts w:ascii="Arial" w:eastAsia="Times New Roman" w:hAnsi="Arial" w:cs="Arial"/>
                <w:sz w:val="18"/>
                <w:szCs w:val="18"/>
              </w:rPr>
              <w:t>M</w:t>
            </w:r>
          </w:p>
        </w:tc>
        <w:tc>
          <w:tcPr>
            <w:tcW w:w="1485" w:type="dxa"/>
            <w:vAlign w:val="center"/>
          </w:tcPr>
          <w:p w14:paraId="4B8B4E53" w14:textId="3FDA35A7" w:rsidR="003F4653" w:rsidRPr="009A7D7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00C85A0C">
              <w:rPr>
                <w:rFonts w:ascii="Arial" w:hAnsi="Arial" w:cs="Arial"/>
                <w:color w:val="000000"/>
                <w:sz w:val="18"/>
                <w:szCs w:val="18"/>
              </w:rPr>
              <w:t>11.9</w:t>
            </w:r>
            <w:r w:rsidRPr="009A7D70">
              <w:rPr>
                <w:rFonts w:ascii="Arial" w:hAnsi="Arial" w:cs="Arial"/>
                <w:color w:val="000000"/>
                <w:sz w:val="18"/>
                <w:szCs w:val="18"/>
              </w:rPr>
              <w:t>%</w:t>
            </w:r>
          </w:p>
        </w:tc>
        <w:tc>
          <w:tcPr>
            <w:tcW w:w="1485" w:type="dxa"/>
            <w:vAlign w:val="center"/>
          </w:tcPr>
          <w:p w14:paraId="3A4896C7" w14:textId="730407C9" w:rsidR="003F4653" w:rsidRPr="009A7D70" w:rsidRDefault="00C85A0C"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+0.0</w:t>
            </w:r>
            <w:r w:rsidR="003F4653" w:rsidRPr="009A7D70">
              <w:rPr>
                <w:rFonts w:ascii="Arial" w:hAnsi="Arial" w:cs="Arial"/>
                <w:color w:val="000000"/>
                <w:sz w:val="18"/>
                <w:szCs w:val="18"/>
              </w:rPr>
              <w:t>%</w:t>
            </w:r>
          </w:p>
        </w:tc>
      </w:tr>
    </w:tbl>
    <w:p w14:paraId="45F75BE3" w14:textId="3E5DEC79" w:rsidR="00F15260" w:rsidRDefault="00F07831" w:rsidP="00AD60E2">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w:t>
      </w:r>
      <w:r w:rsidR="006F697A">
        <w:rPr>
          <w:rFonts w:ascii="Arial" w:hAnsi="Arial" w:cs="Arial"/>
          <w:color w:val="7F7F7F" w:themeColor="text1" w:themeTint="80"/>
          <w:sz w:val="16"/>
          <w:szCs w:val="16"/>
        </w:rPr>
        <w:t>o</w:t>
      </w:r>
      <w:r w:rsidR="00F15260" w:rsidRPr="00AD60E2">
        <w:rPr>
          <w:rFonts w:ascii="Arial" w:hAnsi="Arial" w:cs="Arial"/>
          <w:color w:val="7F7F7F" w:themeColor="text1" w:themeTint="80"/>
          <w:sz w:val="16"/>
          <w:szCs w:val="16"/>
        </w:rPr>
        <w:t xml:space="preserve">urce: Circana, Integrated Fresh, Total US, </w:t>
      </w:r>
      <w:r w:rsidR="00534629">
        <w:rPr>
          <w:rFonts w:ascii="Arial" w:hAnsi="Arial" w:cs="Arial"/>
          <w:color w:val="7F7F7F" w:themeColor="text1" w:themeTint="80"/>
          <w:sz w:val="16"/>
          <w:szCs w:val="16"/>
        </w:rPr>
        <w:t>MULO+</w:t>
      </w:r>
    </w:p>
    <w:bookmarkEnd w:id="8"/>
    <w:p w14:paraId="1CA16E77" w14:textId="77777777" w:rsidR="00C75C35" w:rsidRDefault="00C75C35" w:rsidP="00CD6192">
      <w:pPr>
        <w:spacing w:after="0"/>
        <w:rPr>
          <w:rFonts w:ascii="Arial" w:hAnsi="Arial" w:cs="Arial"/>
          <w:b/>
          <w:color w:val="00857C"/>
          <w:sz w:val="24"/>
          <w:szCs w:val="20"/>
        </w:rPr>
      </w:pPr>
    </w:p>
    <w:p w14:paraId="78020F43" w14:textId="591F30D6"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3F4653"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3F4653"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3F4653" w:rsidRPr="00A94364" w:rsidRDefault="003F4653"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3F4653"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3F4653"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3F4653" w:rsidRPr="00A94364" w:rsidRDefault="003F4653"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3F4653" w:rsidRPr="00A94364" w:rsidRDefault="003F4653"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460225A6" w:rsidR="001445C0" w:rsidRDefault="006008B5"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 xml:space="preserve">Fresh (refrigerated) seafood </w:t>
      </w:r>
      <w:r w:rsidR="00986F00">
        <w:rPr>
          <w:rFonts w:ascii="Arial" w:hAnsi="Arial" w:cs="Arial"/>
          <w:bCs/>
          <w:color w:val="000000" w:themeColor="text1"/>
          <w:sz w:val="20"/>
          <w:szCs w:val="16"/>
        </w:rPr>
        <w:t xml:space="preserve">sales reached $679 million in April. Inflation prompted a small increase in dollar sales, but pounds dropped 3.9% year-over-year. In the 52-week view, sales reached $8.7 billion, virtually unchanged from last year. </w:t>
      </w:r>
      <w:r w:rsidR="00BA4613">
        <w:rPr>
          <w:rFonts w:ascii="Arial" w:hAnsi="Arial" w:cs="Arial"/>
          <w:bCs/>
          <w:color w:val="000000" w:themeColor="text1"/>
          <w:sz w:val="20"/>
          <w:szCs w:val="16"/>
        </w:rPr>
        <w:t xml:space="preserve"> </w:t>
      </w:r>
      <w:r>
        <w:rPr>
          <w:rFonts w:ascii="Arial" w:hAnsi="Arial" w:cs="Arial"/>
          <w:bCs/>
          <w:color w:val="000000" w:themeColor="text1"/>
          <w:sz w:val="20"/>
          <w:szCs w:val="16"/>
        </w:rPr>
        <w:t xml:space="preserve">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75C35"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75C35" w:rsidRPr="00A80540" w:rsidRDefault="00C75C35" w:rsidP="00C75C35">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581FF6FD" w:rsidR="00C75C35" w:rsidRPr="00A80540" w:rsidRDefault="003F4653" w:rsidP="006008B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April</w:t>
            </w:r>
            <w:r w:rsidR="00F34BCF">
              <w:rPr>
                <w:rFonts w:ascii="Arial" w:hAnsi="Arial" w:cs="Arial"/>
                <w:color w:val="FFFFFF" w:themeColor="background1"/>
                <w:sz w:val="18"/>
                <w:szCs w:val="18"/>
              </w:rPr>
              <w:t xml:space="preserve"> </w:t>
            </w:r>
            <w:r w:rsidR="006A6067">
              <w:rPr>
                <w:rFonts w:ascii="Arial" w:hAnsi="Arial" w:cs="Arial"/>
                <w:color w:val="FFFFFF" w:themeColor="background1"/>
                <w:sz w:val="18"/>
                <w:szCs w:val="18"/>
              </w:rPr>
              <w:t>2026</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72DD2471" w:rsidR="00C75C35" w:rsidRPr="00A80540" w:rsidRDefault="00C75C35" w:rsidP="006008B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DD1221" w:rsidRDefault="00507B1A" w:rsidP="0068426D">
            <w:pPr>
              <w:pStyle w:val="NoSpacing"/>
              <w:rPr>
                <w:rFonts w:ascii="Arial" w:hAnsi="Arial" w:cs="Arial"/>
                <w:color w:val="FFFFFF" w:themeColor="background1"/>
                <w:sz w:val="18"/>
                <w:szCs w:val="18"/>
              </w:rPr>
            </w:pPr>
            <w:r w:rsidRPr="00DD1221">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DD1221" w:rsidRDefault="00507B1A"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DD1221" w:rsidRDefault="00507B1A"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DD1221" w:rsidRDefault="00507B1A" w:rsidP="006008B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DD1221" w:rsidRDefault="00507B1A" w:rsidP="006008B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DD1221" w:rsidRDefault="00507B1A" w:rsidP="006008B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DD1221" w:rsidRDefault="00507B1A" w:rsidP="006008B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r>
      <w:tr w:rsidR="003F4653" w:rsidRPr="00F15260" w14:paraId="544E1763" w14:textId="77777777" w:rsidTr="003F4653">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3F4653" w:rsidRPr="00250D03" w:rsidRDefault="003F4653" w:rsidP="003F4653">
            <w:pPr>
              <w:pStyle w:val="NoSpacing"/>
              <w:rPr>
                <w:rFonts w:ascii="Arial" w:hAnsi="Arial" w:cs="Arial"/>
                <w:color w:val="000000" w:themeColor="text1"/>
                <w:sz w:val="18"/>
                <w:szCs w:val="18"/>
              </w:rPr>
            </w:pPr>
            <w:r w:rsidRPr="00250D03">
              <w:rPr>
                <w:rFonts w:ascii="Arial" w:eastAsia="Times New Roman" w:hAnsi="Arial" w:cs="Arial"/>
                <w:color w:val="000000" w:themeColor="text1"/>
                <w:sz w:val="18"/>
                <w:szCs w:val="18"/>
              </w:rPr>
              <w:t>Total fresh seafood</w:t>
            </w:r>
          </w:p>
        </w:tc>
        <w:tc>
          <w:tcPr>
            <w:tcW w:w="1305" w:type="dxa"/>
          </w:tcPr>
          <w:p w14:paraId="008C175F" w14:textId="4CECF41A" w:rsidR="003F4653" w:rsidRPr="00986F0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986F00">
              <w:rPr>
                <w:rFonts w:ascii="Arial" w:eastAsia="Times New Roman" w:hAnsi="Arial" w:cs="Arial"/>
                <w:b/>
                <w:bCs/>
                <w:color w:val="000000" w:themeColor="text1"/>
                <w:sz w:val="18"/>
                <w:szCs w:val="18"/>
              </w:rPr>
              <w:t>$</w:t>
            </w:r>
            <w:r w:rsidR="00986F00" w:rsidRPr="00986F00">
              <w:rPr>
                <w:rFonts w:ascii="Arial" w:eastAsia="Times New Roman" w:hAnsi="Arial" w:cs="Arial"/>
                <w:b/>
                <w:bCs/>
                <w:color w:val="000000" w:themeColor="text1"/>
                <w:sz w:val="18"/>
                <w:szCs w:val="18"/>
              </w:rPr>
              <w:t>678.8</w:t>
            </w:r>
            <w:r w:rsidRPr="00986F00">
              <w:rPr>
                <w:rFonts w:ascii="Arial" w:eastAsia="Times New Roman" w:hAnsi="Arial" w:cs="Arial"/>
                <w:b/>
                <w:bCs/>
                <w:color w:val="000000" w:themeColor="text1"/>
                <w:sz w:val="18"/>
                <w:szCs w:val="18"/>
              </w:rPr>
              <w:t>M</w:t>
            </w:r>
          </w:p>
        </w:tc>
        <w:tc>
          <w:tcPr>
            <w:tcW w:w="1485" w:type="dxa"/>
          </w:tcPr>
          <w:p w14:paraId="19694FA3" w14:textId="7E385CE0" w:rsidR="003F4653" w:rsidRPr="00986F0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986F00">
              <w:rPr>
                <w:rFonts w:ascii="Arial" w:hAnsi="Arial" w:cs="Arial"/>
                <w:b/>
                <w:bCs/>
                <w:color w:val="000000"/>
                <w:sz w:val="18"/>
                <w:szCs w:val="18"/>
              </w:rPr>
              <w:t>+</w:t>
            </w:r>
            <w:r w:rsidR="00986F00" w:rsidRPr="00986F00">
              <w:rPr>
                <w:rFonts w:ascii="Arial" w:hAnsi="Arial" w:cs="Arial"/>
                <w:b/>
                <w:bCs/>
                <w:color w:val="000000"/>
                <w:sz w:val="18"/>
                <w:szCs w:val="18"/>
              </w:rPr>
              <w:t>0.6</w:t>
            </w:r>
            <w:r w:rsidRPr="00986F00">
              <w:rPr>
                <w:rFonts w:ascii="Arial" w:hAnsi="Arial" w:cs="Arial"/>
                <w:b/>
                <w:bCs/>
                <w:color w:val="000000"/>
                <w:sz w:val="18"/>
                <w:szCs w:val="18"/>
              </w:rPr>
              <w:t>%</w:t>
            </w:r>
          </w:p>
        </w:tc>
        <w:tc>
          <w:tcPr>
            <w:tcW w:w="1485" w:type="dxa"/>
            <w:gridSpan w:val="2"/>
            <w:tcBorders>
              <w:right w:val="single" w:sz="4" w:space="0" w:color="17365D" w:themeColor="text2" w:themeShade="BF"/>
            </w:tcBorders>
          </w:tcPr>
          <w:p w14:paraId="7820D590" w14:textId="77239E76" w:rsidR="003F4653" w:rsidRPr="00986F0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986F00">
              <w:rPr>
                <w:rFonts w:ascii="Arial" w:hAnsi="Arial" w:cs="Arial"/>
                <w:b/>
                <w:bCs/>
                <w:color w:val="000000"/>
                <w:sz w:val="18"/>
                <w:szCs w:val="18"/>
              </w:rPr>
              <w:t>-</w:t>
            </w:r>
            <w:r w:rsidR="00986F00" w:rsidRPr="00986F00">
              <w:rPr>
                <w:rFonts w:ascii="Arial" w:hAnsi="Arial" w:cs="Arial"/>
                <w:b/>
                <w:bCs/>
                <w:color w:val="000000"/>
                <w:sz w:val="18"/>
                <w:szCs w:val="18"/>
              </w:rPr>
              <w:t>3.9</w:t>
            </w:r>
            <w:r w:rsidRPr="00986F00">
              <w:rPr>
                <w:rFonts w:ascii="Arial" w:hAnsi="Arial" w:cs="Arial"/>
                <w:b/>
                <w:bCs/>
                <w:color w:val="000000"/>
                <w:sz w:val="18"/>
                <w:szCs w:val="18"/>
              </w:rPr>
              <w:t>%</w:t>
            </w:r>
          </w:p>
        </w:tc>
        <w:tc>
          <w:tcPr>
            <w:tcW w:w="1305" w:type="dxa"/>
            <w:tcBorders>
              <w:left w:val="single" w:sz="4" w:space="0" w:color="17365D" w:themeColor="text2" w:themeShade="BF"/>
            </w:tcBorders>
            <w:vAlign w:val="bottom"/>
          </w:tcPr>
          <w:p w14:paraId="1EADE73E" w14:textId="47E95A1A" w:rsidR="003F4653" w:rsidRPr="00986F0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986F00">
              <w:rPr>
                <w:rFonts w:ascii="Arial" w:hAnsi="Arial" w:cs="Arial"/>
                <w:b/>
                <w:bCs/>
                <w:color w:val="000000"/>
                <w:sz w:val="18"/>
                <w:szCs w:val="18"/>
              </w:rPr>
              <w:t>$</w:t>
            </w:r>
            <w:r w:rsidR="00986F00" w:rsidRPr="00986F00">
              <w:rPr>
                <w:rFonts w:ascii="Arial" w:hAnsi="Arial" w:cs="Arial"/>
                <w:b/>
                <w:bCs/>
                <w:color w:val="000000"/>
                <w:sz w:val="18"/>
                <w:szCs w:val="18"/>
              </w:rPr>
              <w:t>8.74</w:t>
            </w:r>
            <w:r w:rsidRPr="00986F00">
              <w:rPr>
                <w:rFonts w:ascii="Arial" w:hAnsi="Arial" w:cs="Arial"/>
                <w:b/>
                <w:bCs/>
                <w:color w:val="000000"/>
                <w:sz w:val="18"/>
                <w:szCs w:val="18"/>
              </w:rPr>
              <w:t>B</w:t>
            </w:r>
          </w:p>
        </w:tc>
        <w:tc>
          <w:tcPr>
            <w:tcW w:w="1665" w:type="dxa"/>
          </w:tcPr>
          <w:p w14:paraId="108D0361" w14:textId="0D42FA4E" w:rsidR="003F4653" w:rsidRPr="00986F00"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986F00">
              <w:rPr>
                <w:rFonts w:ascii="Arial" w:hAnsi="Arial" w:cs="Arial"/>
                <w:b/>
                <w:bCs/>
                <w:color w:val="000000"/>
                <w:sz w:val="18"/>
                <w:szCs w:val="18"/>
              </w:rPr>
              <w:t>+</w:t>
            </w:r>
            <w:r w:rsidR="00986F00" w:rsidRPr="00986F00">
              <w:rPr>
                <w:rFonts w:ascii="Arial" w:hAnsi="Arial" w:cs="Arial"/>
                <w:b/>
                <w:bCs/>
                <w:color w:val="000000"/>
                <w:sz w:val="18"/>
                <w:szCs w:val="18"/>
              </w:rPr>
              <w:t>2.3</w:t>
            </w:r>
            <w:r w:rsidRPr="00986F00">
              <w:rPr>
                <w:rFonts w:ascii="Arial" w:hAnsi="Arial" w:cs="Arial"/>
                <w:b/>
                <w:bCs/>
                <w:color w:val="000000"/>
                <w:sz w:val="18"/>
                <w:szCs w:val="18"/>
              </w:rPr>
              <w:t>%</w:t>
            </w:r>
          </w:p>
        </w:tc>
        <w:tc>
          <w:tcPr>
            <w:tcW w:w="1486" w:type="dxa"/>
          </w:tcPr>
          <w:p w14:paraId="0CC74927" w14:textId="2F7C3258" w:rsidR="003F4653" w:rsidRPr="00986F00" w:rsidRDefault="00986F00"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986F00">
              <w:rPr>
                <w:rFonts w:ascii="Arial" w:hAnsi="Arial" w:cs="Arial"/>
                <w:b/>
                <w:bCs/>
                <w:color w:val="000000"/>
                <w:sz w:val="18"/>
                <w:szCs w:val="18"/>
              </w:rPr>
              <w:t>-0.4</w:t>
            </w:r>
            <w:r w:rsidR="003F4653" w:rsidRPr="00986F00">
              <w:rPr>
                <w:rFonts w:ascii="Arial" w:hAnsi="Arial" w:cs="Arial"/>
                <w:b/>
                <w:bCs/>
                <w:color w:val="000000"/>
                <w:sz w:val="18"/>
                <w:szCs w:val="18"/>
              </w:rPr>
              <w:t>%</w:t>
            </w:r>
          </w:p>
        </w:tc>
      </w:tr>
      <w:tr w:rsidR="003F4653" w:rsidRPr="00F15260" w14:paraId="26343E00" w14:textId="77777777" w:rsidTr="003F4653">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3F4653" w:rsidRPr="00250D03" w:rsidRDefault="003F4653" w:rsidP="003F4653">
            <w:pPr>
              <w:pStyle w:val="NoSpacing"/>
              <w:rPr>
                <w:rFonts w:ascii="Arial" w:hAnsi="Arial" w:cs="Arial"/>
                <w:b w:val="0"/>
                <w:bCs w:val="0"/>
                <w:color w:val="000000" w:themeColor="text1"/>
                <w:sz w:val="18"/>
                <w:szCs w:val="18"/>
              </w:rPr>
            </w:pPr>
            <w:r w:rsidRPr="00250D03">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tcPr>
          <w:p w14:paraId="1245A996" w14:textId="053BCB0F" w:rsidR="003F4653" w:rsidRPr="00250D03"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5318B">
              <w:rPr>
                <w:rFonts w:ascii="Arial" w:eastAsia="Times New Roman" w:hAnsi="Arial" w:cs="Arial"/>
                <w:color w:val="000000" w:themeColor="text1"/>
                <w:sz w:val="18"/>
                <w:szCs w:val="18"/>
              </w:rPr>
              <w:t>$</w:t>
            </w:r>
            <w:r w:rsidR="00986F00">
              <w:rPr>
                <w:rFonts w:ascii="Arial" w:eastAsia="Times New Roman" w:hAnsi="Arial" w:cs="Arial"/>
                <w:color w:val="000000" w:themeColor="text1"/>
                <w:sz w:val="18"/>
                <w:szCs w:val="18"/>
              </w:rPr>
              <w:t>483.7</w:t>
            </w:r>
            <w:r w:rsidRPr="0005318B">
              <w:rPr>
                <w:rFonts w:ascii="Arial" w:eastAsia="Times New Roman" w:hAnsi="Arial" w:cs="Arial"/>
                <w:color w:val="000000" w:themeColor="text1"/>
                <w:sz w:val="18"/>
                <w:szCs w:val="18"/>
              </w:rPr>
              <w:t>M</w:t>
            </w:r>
          </w:p>
        </w:tc>
        <w:tc>
          <w:tcPr>
            <w:tcW w:w="1485" w:type="dxa"/>
            <w:shd w:val="clear" w:color="auto" w:fill="D9D9D9" w:themeFill="background1" w:themeFillShade="D9"/>
          </w:tcPr>
          <w:p w14:paraId="1587A913" w14:textId="410C811C" w:rsidR="003F4653" w:rsidRPr="00250D03"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051B0">
              <w:rPr>
                <w:rFonts w:ascii="Arial" w:hAnsi="Arial" w:cs="Arial"/>
                <w:color w:val="000000"/>
                <w:sz w:val="18"/>
                <w:szCs w:val="18"/>
              </w:rPr>
              <w:t>+</w:t>
            </w:r>
            <w:r w:rsidR="00986F00">
              <w:rPr>
                <w:rFonts w:ascii="Arial" w:hAnsi="Arial" w:cs="Arial"/>
                <w:color w:val="000000"/>
                <w:sz w:val="18"/>
                <w:szCs w:val="18"/>
              </w:rPr>
              <w:t>3.8</w:t>
            </w:r>
            <w:r w:rsidRPr="00F051B0">
              <w:rPr>
                <w:rFonts w:ascii="Arial" w:hAnsi="Arial" w:cs="Arial"/>
                <w:color w:val="000000"/>
                <w:sz w:val="18"/>
                <w:szCs w:val="18"/>
              </w:rPr>
              <w:t>%</w:t>
            </w:r>
          </w:p>
        </w:tc>
        <w:tc>
          <w:tcPr>
            <w:tcW w:w="1485" w:type="dxa"/>
            <w:gridSpan w:val="2"/>
            <w:tcBorders>
              <w:right w:val="single" w:sz="4" w:space="0" w:color="17365D" w:themeColor="text2" w:themeShade="BF"/>
            </w:tcBorders>
            <w:shd w:val="clear" w:color="auto" w:fill="D9D9D9" w:themeFill="background1" w:themeFillShade="D9"/>
          </w:tcPr>
          <w:p w14:paraId="106DFF9E" w14:textId="7E47CAF7" w:rsidR="003F4653" w:rsidRPr="00250D03"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95148">
              <w:rPr>
                <w:rFonts w:ascii="Arial" w:hAnsi="Arial" w:cs="Arial"/>
                <w:color w:val="000000"/>
                <w:sz w:val="18"/>
                <w:szCs w:val="18"/>
              </w:rPr>
              <w:t>-</w:t>
            </w:r>
            <w:r w:rsidR="00986F00">
              <w:rPr>
                <w:rFonts w:ascii="Arial" w:hAnsi="Arial" w:cs="Arial"/>
                <w:color w:val="000000"/>
                <w:sz w:val="18"/>
                <w:szCs w:val="18"/>
              </w:rPr>
              <w:t>0.9</w:t>
            </w:r>
            <w:r w:rsidRPr="00A95148">
              <w:rPr>
                <w:rFonts w:ascii="Arial" w:hAnsi="Arial" w:cs="Arial"/>
                <w:color w:val="000000"/>
                <w:sz w:val="18"/>
                <w:szCs w:val="18"/>
              </w:rPr>
              <w:t>%</w:t>
            </w:r>
          </w:p>
        </w:tc>
        <w:tc>
          <w:tcPr>
            <w:tcW w:w="1305" w:type="dxa"/>
            <w:tcBorders>
              <w:left w:val="single" w:sz="4" w:space="0" w:color="17365D" w:themeColor="text2" w:themeShade="BF"/>
            </w:tcBorders>
            <w:shd w:val="clear" w:color="auto" w:fill="D9D9D9" w:themeFill="background1" w:themeFillShade="D9"/>
            <w:vAlign w:val="bottom"/>
          </w:tcPr>
          <w:p w14:paraId="66F40F56" w14:textId="7A63BF7D" w:rsidR="003F4653" w:rsidRPr="00250D03"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5.90</w:t>
            </w:r>
            <w:r>
              <w:rPr>
                <w:rFonts w:ascii="Arial" w:hAnsi="Arial" w:cs="Arial"/>
                <w:color w:val="000000"/>
                <w:sz w:val="18"/>
                <w:szCs w:val="18"/>
              </w:rPr>
              <w:t>B</w:t>
            </w:r>
          </w:p>
        </w:tc>
        <w:tc>
          <w:tcPr>
            <w:tcW w:w="1665" w:type="dxa"/>
            <w:shd w:val="clear" w:color="auto" w:fill="D9D9D9" w:themeFill="background1" w:themeFillShade="D9"/>
          </w:tcPr>
          <w:p w14:paraId="3BFD4643" w14:textId="7875FD51" w:rsidR="003F4653" w:rsidRPr="00250D03"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31557">
              <w:rPr>
                <w:rFonts w:ascii="Arial" w:hAnsi="Arial" w:cs="Arial"/>
                <w:color w:val="000000"/>
                <w:sz w:val="18"/>
                <w:szCs w:val="18"/>
              </w:rPr>
              <w:t>+</w:t>
            </w:r>
            <w:r w:rsidR="00986F00">
              <w:rPr>
                <w:rFonts w:ascii="Arial" w:hAnsi="Arial" w:cs="Arial"/>
                <w:color w:val="000000"/>
                <w:sz w:val="18"/>
                <w:szCs w:val="18"/>
              </w:rPr>
              <w:t>5.3</w:t>
            </w:r>
            <w:r w:rsidRPr="00B31557">
              <w:rPr>
                <w:rFonts w:ascii="Arial" w:hAnsi="Arial" w:cs="Arial"/>
                <w:color w:val="000000"/>
                <w:sz w:val="18"/>
                <w:szCs w:val="18"/>
              </w:rPr>
              <w:t>%</w:t>
            </w:r>
          </w:p>
        </w:tc>
        <w:tc>
          <w:tcPr>
            <w:tcW w:w="1486" w:type="dxa"/>
            <w:shd w:val="clear" w:color="auto" w:fill="D9D9D9" w:themeFill="background1" w:themeFillShade="D9"/>
          </w:tcPr>
          <w:p w14:paraId="7E7D4104" w14:textId="384DFEAE" w:rsidR="003F4653" w:rsidRPr="00250D03" w:rsidRDefault="003F4653" w:rsidP="003F46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31557">
              <w:rPr>
                <w:rFonts w:ascii="Arial" w:hAnsi="Arial" w:cs="Arial"/>
                <w:color w:val="000000"/>
                <w:sz w:val="18"/>
                <w:szCs w:val="18"/>
              </w:rPr>
              <w:t>+</w:t>
            </w:r>
            <w:r w:rsidR="00986F00">
              <w:rPr>
                <w:rFonts w:ascii="Arial" w:hAnsi="Arial" w:cs="Arial"/>
                <w:color w:val="000000"/>
                <w:sz w:val="18"/>
                <w:szCs w:val="18"/>
              </w:rPr>
              <w:t>3.5</w:t>
            </w:r>
            <w:r w:rsidRPr="00B31557">
              <w:rPr>
                <w:rFonts w:ascii="Arial" w:hAnsi="Arial" w:cs="Arial"/>
                <w:color w:val="000000"/>
                <w:sz w:val="18"/>
                <w:szCs w:val="18"/>
              </w:rPr>
              <w:t>%</w:t>
            </w:r>
          </w:p>
        </w:tc>
      </w:tr>
      <w:tr w:rsidR="003F4653" w:rsidRPr="00F15260" w14:paraId="009F29AD" w14:textId="77777777" w:rsidTr="003F4653">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3F4653" w:rsidRPr="00250D03" w:rsidRDefault="003F4653" w:rsidP="003F4653">
            <w:pPr>
              <w:pStyle w:val="NoSpacing"/>
              <w:rPr>
                <w:rFonts w:ascii="Arial" w:hAnsi="Arial" w:cs="Arial"/>
                <w:b w:val="0"/>
                <w:bCs w:val="0"/>
                <w:color w:val="000000" w:themeColor="text1"/>
                <w:sz w:val="18"/>
                <w:szCs w:val="18"/>
              </w:rPr>
            </w:pPr>
            <w:r w:rsidRPr="00250D03">
              <w:rPr>
                <w:rFonts w:ascii="Arial" w:eastAsia="Times New Roman" w:hAnsi="Arial" w:cs="Arial"/>
                <w:b w:val="0"/>
                <w:color w:val="000000" w:themeColor="text1"/>
                <w:sz w:val="18"/>
                <w:szCs w:val="18"/>
              </w:rPr>
              <w:t>Fresh shellfish</w:t>
            </w:r>
          </w:p>
        </w:tc>
        <w:tc>
          <w:tcPr>
            <w:tcW w:w="1305" w:type="dxa"/>
          </w:tcPr>
          <w:p w14:paraId="277CE7F0" w14:textId="1AC65604" w:rsidR="003F4653" w:rsidRPr="00250D03"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5318B">
              <w:rPr>
                <w:rFonts w:ascii="Arial" w:eastAsia="Times New Roman" w:hAnsi="Arial" w:cs="Arial"/>
                <w:color w:val="000000" w:themeColor="text1"/>
                <w:sz w:val="18"/>
                <w:szCs w:val="18"/>
              </w:rPr>
              <w:t>$</w:t>
            </w:r>
            <w:r w:rsidR="00986F00">
              <w:rPr>
                <w:rFonts w:ascii="Arial" w:eastAsia="Times New Roman" w:hAnsi="Arial" w:cs="Arial"/>
                <w:color w:val="000000" w:themeColor="text1"/>
                <w:sz w:val="18"/>
                <w:szCs w:val="18"/>
              </w:rPr>
              <w:t>162.3</w:t>
            </w:r>
            <w:r w:rsidRPr="0005318B">
              <w:rPr>
                <w:rFonts w:ascii="Arial" w:eastAsia="Times New Roman" w:hAnsi="Arial" w:cs="Arial"/>
                <w:color w:val="000000" w:themeColor="text1"/>
                <w:sz w:val="18"/>
                <w:szCs w:val="18"/>
              </w:rPr>
              <w:t>M</w:t>
            </w:r>
          </w:p>
        </w:tc>
        <w:tc>
          <w:tcPr>
            <w:tcW w:w="1485" w:type="dxa"/>
            <w:vAlign w:val="bottom"/>
          </w:tcPr>
          <w:p w14:paraId="7DDAAAA4" w14:textId="37B5863F" w:rsidR="003F4653" w:rsidRPr="00250D03"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7.5</w:t>
            </w:r>
            <w:r w:rsidRPr="00250D03">
              <w:rPr>
                <w:rFonts w:ascii="Arial" w:hAnsi="Arial" w:cs="Arial"/>
                <w:color w:val="000000"/>
                <w:sz w:val="18"/>
                <w:szCs w:val="18"/>
              </w:rPr>
              <w:t>%</w:t>
            </w:r>
          </w:p>
        </w:tc>
        <w:tc>
          <w:tcPr>
            <w:tcW w:w="1485" w:type="dxa"/>
            <w:gridSpan w:val="2"/>
            <w:tcBorders>
              <w:right w:val="single" w:sz="4" w:space="0" w:color="17365D" w:themeColor="text2" w:themeShade="BF"/>
            </w:tcBorders>
          </w:tcPr>
          <w:p w14:paraId="48D14838" w14:textId="16172C60" w:rsidR="003F4653" w:rsidRPr="00250D03"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95148">
              <w:rPr>
                <w:rFonts w:ascii="Arial" w:hAnsi="Arial" w:cs="Arial"/>
                <w:color w:val="000000"/>
                <w:sz w:val="18"/>
                <w:szCs w:val="18"/>
              </w:rPr>
              <w:t>-</w:t>
            </w:r>
            <w:r w:rsidR="00986F00">
              <w:rPr>
                <w:rFonts w:ascii="Arial" w:hAnsi="Arial" w:cs="Arial"/>
                <w:color w:val="000000"/>
                <w:sz w:val="18"/>
                <w:szCs w:val="18"/>
              </w:rPr>
              <w:t>1.0</w:t>
            </w:r>
            <w:r w:rsidRPr="00A95148">
              <w:rPr>
                <w:rFonts w:ascii="Arial" w:hAnsi="Arial" w:cs="Arial"/>
                <w:color w:val="000000"/>
                <w:sz w:val="18"/>
                <w:szCs w:val="18"/>
              </w:rPr>
              <w:t>%</w:t>
            </w:r>
          </w:p>
        </w:tc>
        <w:tc>
          <w:tcPr>
            <w:tcW w:w="1305" w:type="dxa"/>
            <w:tcBorders>
              <w:left w:val="single" w:sz="4" w:space="0" w:color="17365D" w:themeColor="text2" w:themeShade="BF"/>
            </w:tcBorders>
            <w:vAlign w:val="bottom"/>
          </w:tcPr>
          <w:p w14:paraId="1FCC62E3" w14:textId="1553B70F" w:rsidR="003F4653" w:rsidRPr="00250D03"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86F00">
              <w:rPr>
                <w:rFonts w:ascii="Arial" w:hAnsi="Arial" w:cs="Arial"/>
                <w:color w:val="000000"/>
                <w:sz w:val="18"/>
                <w:szCs w:val="18"/>
              </w:rPr>
              <w:t>2.42</w:t>
            </w:r>
            <w:r>
              <w:rPr>
                <w:rFonts w:ascii="Arial" w:hAnsi="Arial" w:cs="Arial"/>
                <w:color w:val="000000"/>
                <w:sz w:val="18"/>
                <w:szCs w:val="18"/>
              </w:rPr>
              <w:t>B</w:t>
            </w:r>
          </w:p>
        </w:tc>
        <w:tc>
          <w:tcPr>
            <w:tcW w:w="1665" w:type="dxa"/>
          </w:tcPr>
          <w:p w14:paraId="7EFA706F" w14:textId="4D417327" w:rsidR="003F4653" w:rsidRPr="00250D03"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66BF">
              <w:rPr>
                <w:rFonts w:ascii="Arial" w:hAnsi="Arial" w:cs="Arial"/>
                <w:color w:val="000000"/>
                <w:sz w:val="18"/>
                <w:szCs w:val="18"/>
              </w:rPr>
              <w:t>-</w:t>
            </w:r>
            <w:r w:rsidR="00986F00">
              <w:rPr>
                <w:rFonts w:ascii="Arial" w:hAnsi="Arial" w:cs="Arial"/>
                <w:color w:val="000000"/>
                <w:sz w:val="18"/>
                <w:szCs w:val="18"/>
              </w:rPr>
              <w:t>4.0</w:t>
            </w:r>
            <w:r w:rsidRPr="00FB66BF">
              <w:rPr>
                <w:rFonts w:ascii="Arial" w:hAnsi="Arial" w:cs="Arial"/>
                <w:color w:val="000000"/>
                <w:sz w:val="18"/>
                <w:szCs w:val="18"/>
              </w:rPr>
              <w:t>%</w:t>
            </w:r>
          </w:p>
        </w:tc>
        <w:tc>
          <w:tcPr>
            <w:tcW w:w="1486" w:type="dxa"/>
          </w:tcPr>
          <w:p w14:paraId="68B84796" w14:textId="19D17356" w:rsidR="003F4653" w:rsidRPr="00250D03" w:rsidRDefault="003F4653" w:rsidP="003F46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B66BF">
              <w:rPr>
                <w:rFonts w:ascii="Arial" w:hAnsi="Arial" w:cs="Arial"/>
                <w:color w:val="000000"/>
                <w:sz w:val="18"/>
                <w:szCs w:val="18"/>
              </w:rPr>
              <w:t>-</w:t>
            </w:r>
            <w:r w:rsidR="00986F00">
              <w:rPr>
                <w:rFonts w:ascii="Arial" w:hAnsi="Arial" w:cs="Arial"/>
                <w:color w:val="000000"/>
                <w:sz w:val="18"/>
                <w:szCs w:val="18"/>
              </w:rPr>
              <w:t>7.9</w:t>
            </w:r>
            <w:r w:rsidRPr="00FB66BF">
              <w:rPr>
                <w:rFonts w:ascii="Arial" w:hAnsi="Arial" w:cs="Arial"/>
                <w:color w:val="000000"/>
                <w:sz w:val="18"/>
                <w:szCs w:val="18"/>
              </w:rPr>
              <w:t>%</w:t>
            </w:r>
          </w:p>
        </w:tc>
      </w:tr>
    </w:tbl>
    <w:p w14:paraId="6A89C80D" w14:textId="77777777" w:rsidR="00150F85" w:rsidRPr="00150F85" w:rsidRDefault="00150F85" w:rsidP="00CD6192">
      <w:pPr>
        <w:pStyle w:val="NoSpacing"/>
        <w:rPr>
          <w:rFonts w:ascii="Arial" w:hAnsi="Arial" w:cs="Arial"/>
          <w:color w:val="7F7F7F" w:themeColor="text1" w:themeTint="80"/>
          <w:sz w:val="4"/>
          <w:szCs w:val="4"/>
        </w:rPr>
      </w:pPr>
    </w:p>
    <w:p w14:paraId="46C53BBE" w14:textId="0D49FD5E" w:rsidR="00CD6192"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t xml:space="preserve">Source: </w:t>
      </w:r>
      <w:r w:rsidR="007A44BE" w:rsidRPr="00E61F90">
        <w:rPr>
          <w:rFonts w:ascii="Arial" w:hAnsi="Arial" w:cs="Arial"/>
          <w:color w:val="7F7F7F" w:themeColor="text1" w:themeTint="80"/>
          <w:sz w:val="16"/>
          <w:szCs w:val="16"/>
        </w:rPr>
        <w:t>Circana</w:t>
      </w:r>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229E3509" w14:textId="77777777" w:rsidR="00CB5D1F" w:rsidRPr="00CB5D1F" w:rsidRDefault="00CB5D1F" w:rsidP="00CD6192">
      <w:pPr>
        <w:pStyle w:val="NoSpacing"/>
        <w:rPr>
          <w:rFonts w:ascii="Arial" w:hAnsi="Arial" w:cs="Arial"/>
          <w:color w:val="7F7F7F" w:themeColor="text1" w:themeTint="80"/>
          <w:sz w:val="10"/>
          <w:szCs w:val="10"/>
        </w:rPr>
      </w:pPr>
    </w:p>
    <w:p w14:paraId="37FC9313" w14:textId="77777777" w:rsidR="006008B5" w:rsidRDefault="006008B5" w:rsidP="009F1921">
      <w:pPr>
        <w:pStyle w:val="NoSpacing"/>
        <w:rPr>
          <w:rFonts w:ascii="Arial" w:hAnsi="Arial" w:cs="Arial"/>
          <w:bCs/>
          <w:color w:val="000000" w:themeColor="text1"/>
          <w:sz w:val="20"/>
          <w:szCs w:val="16"/>
        </w:rPr>
      </w:pPr>
    </w:p>
    <w:p w14:paraId="7A8F79FD" w14:textId="68106F46" w:rsidR="009F1921" w:rsidRPr="006008B5" w:rsidRDefault="00986F00" w:rsidP="009F1921">
      <w:pPr>
        <w:pStyle w:val="NoSpacing"/>
        <w:rPr>
          <w:rFonts w:ascii="Arial" w:hAnsi="Arial" w:cs="Arial"/>
          <w:sz w:val="18"/>
          <w:szCs w:val="18"/>
        </w:rPr>
      </w:pPr>
      <w:r>
        <w:rPr>
          <w:rFonts w:ascii="Arial" w:hAnsi="Arial" w:cs="Arial"/>
          <w:bCs/>
          <w:color w:val="000000" w:themeColor="text1"/>
          <w:sz w:val="20"/>
          <w:szCs w:val="16"/>
        </w:rPr>
        <w:t xml:space="preserve">After a strong start to the year, the mismatch in Easter timing prompted tough April comps. </w:t>
      </w:r>
      <w:r w:rsidR="009A2FFD">
        <w:rPr>
          <w:rFonts w:ascii="Arial" w:hAnsi="Arial" w:cs="Arial"/>
          <w:bCs/>
          <w:color w:val="000000" w:themeColor="text1"/>
          <w:sz w:val="20"/>
          <w:szCs w:val="16"/>
        </w:rPr>
        <w:t>Year-to-date, fresh finfish sales grew 6.2% in dollars and 2.0% in pounds</w:t>
      </w:r>
      <w:r w:rsidR="00C85A0C">
        <w:rPr>
          <w:rFonts w:ascii="Arial" w:hAnsi="Arial" w:cs="Arial"/>
          <w:bCs/>
          <w:color w:val="000000" w:themeColor="text1"/>
          <w:sz w:val="20"/>
          <w:szCs w:val="16"/>
        </w:rPr>
        <w:t xml:space="preserve"> — underscoring the impact of Easter timing in 2025 and 2026</w:t>
      </w:r>
      <w:r w:rsidR="009A2FFD">
        <w:rPr>
          <w:rFonts w:ascii="Arial" w:hAnsi="Arial" w:cs="Arial"/>
          <w:bCs/>
          <w:color w:val="000000" w:themeColor="text1"/>
          <w:sz w:val="20"/>
          <w:szCs w:val="16"/>
        </w:rPr>
        <w:t>.</w:t>
      </w:r>
    </w:p>
    <w:p w14:paraId="1B8976D1" w14:textId="0B881CFB" w:rsidR="009F1921" w:rsidRPr="006008B5" w:rsidRDefault="009F1921" w:rsidP="001445C0">
      <w:pPr>
        <w:pStyle w:val="NoSpacing"/>
        <w:rPr>
          <w:rFonts w:ascii="Arial" w:hAnsi="Arial" w:cs="Arial"/>
          <w:sz w:val="18"/>
          <w:szCs w:val="18"/>
        </w:rPr>
      </w:pPr>
      <w:r w:rsidRPr="006008B5">
        <w:rPr>
          <w:rFonts w:ascii="Arial" w:hAnsi="Arial" w:cs="Arial"/>
          <w:bCs/>
          <w:noProof/>
          <w:color w:val="660066"/>
          <w:sz w:val="18"/>
          <w:szCs w:val="14"/>
          <w:shd w:val="clear" w:color="auto" w:fill="00B0F0"/>
          <w:lang w:val="nl-NL" w:eastAsia="nl-NL"/>
        </w:rPr>
        <w:drawing>
          <wp:anchor distT="0" distB="0" distL="114300" distR="114300" simplePos="0" relativeHeight="251688960" behindDoc="0" locked="0" layoutInCell="1" allowOverlap="1" wp14:anchorId="2FA710A4" wp14:editId="716CD358">
            <wp:simplePos x="0" y="0"/>
            <wp:positionH relativeFrom="margin">
              <wp:posOffset>-47404</wp:posOffset>
            </wp:positionH>
            <wp:positionV relativeFrom="paragraph">
              <wp:posOffset>177800</wp:posOffset>
            </wp:positionV>
            <wp:extent cx="6675120" cy="2480310"/>
            <wp:effectExtent l="0" t="0" r="0" b="0"/>
            <wp:wrapThrough wrapText="bothSides">
              <wp:wrapPolygon edited="0">
                <wp:start x="0" y="0"/>
                <wp:lineTo x="0" y="21401"/>
                <wp:lineTo x="21514" y="21401"/>
                <wp:lineTo x="21514" y="0"/>
                <wp:lineTo x="0" y="0"/>
              </wp:wrapPolygon>
            </wp:wrapThrough>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750C86B4" w14:textId="77777777" w:rsidR="009A2FFD" w:rsidRDefault="009A2FFD" w:rsidP="001445C0">
      <w:pPr>
        <w:pStyle w:val="NoSpacing"/>
        <w:rPr>
          <w:rFonts w:ascii="Arial" w:hAnsi="Arial" w:cs="Arial"/>
          <w:sz w:val="20"/>
          <w:szCs w:val="20"/>
        </w:rPr>
      </w:pPr>
    </w:p>
    <w:p w14:paraId="29146A62" w14:textId="679B3395" w:rsidR="009F1921" w:rsidRDefault="009A2FFD" w:rsidP="001445C0">
      <w:pPr>
        <w:pStyle w:val="NoSpacing"/>
        <w:rPr>
          <w:rFonts w:ascii="Arial" w:hAnsi="Arial" w:cs="Arial"/>
          <w:sz w:val="20"/>
          <w:szCs w:val="20"/>
        </w:rPr>
      </w:pPr>
      <w:r>
        <w:rPr>
          <w:rFonts w:ascii="Arial" w:hAnsi="Arial" w:cs="Arial"/>
          <w:sz w:val="20"/>
          <w:szCs w:val="20"/>
        </w:rPr>
        <w:t>The April results for fresh shellfish were impacted even more by the shift in Lent and Easter, with the year-over-year change in pound sales falling to -11.3%.</w:t>
      </w:r>
    </w:p>
    <w:p w14:paraId="018AD182" w14:textId="32075A4E" w:rsidR="006F697A" w:rsidRPr="009F1921" w:rsidRDefault="009F1B44" w:rsidP="001445C0">
      <w:pPr>
        <w:pStyle w:val="NoSpacing"/>
        <w:rPr>
          <w:rFonts w:ascii="Arial" w:hAnsi="Arial" w:cs="Arial"/>
          <w:bCs/>
          <w:color w:val="000000" w:themeColor="text1"/>
          <w:sz w:val="20"/>
          <w:szCs w:val="16"/>
        </w:rPr>
      </w:pPr>
      <w:r>
        <w:rPr>
          <w:noProof/>
          <w:lang w:val="nl-NL" w:eastAsia="nl-NL"/>
        </w:rPr>
        <mc:AlternateContent>
          <mc:Choice Requires="wps">
            <w:drawing>
              <wp:anchor distT="0" distB="0" distL="114300" distR="114300" simplePos="0" relativeHeight="251682303" behindDoc="0" locked="0" layoutInCell="1" allowOverlap="1" wp14:anchorId="4B2FEF61" wp14:editId="724CC08B">
                <wp:simplePos x="0" y="0"/>
                <wp:positionH relativeFrom="margin">
                  <wp:posOffset>0</wp:posOffset>
                </wp:positionH>
                <wp:positionV relativeFrom="paragraph">
                  <wp:posOffset>2917494</wp:posOffset>
                </wp:positionV>
                <wp:extent cx="2592070" cy="214630"/>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070" cy="214630"/>
                        </a:xfrm>
                        <a:prstGeom prst="rect">
                          <a:avLst/>
                        </a:prstGeom>
                        <a:solidFill>
                          <a:schemeClr val="lt1"/>
                        </a:solidFill>
                        <a:ln w="6350">
                          <a:noFill/>
                        </a:ln>
                      </wps:spPr>
                      <wps:txbx>
                        <w:txbxContent>
                          <w:p w14:paraId="0F4E3802" w14:textId="068BFA89" w:rsidR="003F4653" w:rsidRPr="003225B0" w:rsidRDefault="003F4653"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3F4653" w:rsidRPr="003225B0" w:rsidRDefault="003F4653"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Text Box 1" o:spid="_x0000_s1027" type="#_x0000_t202" style="position:absolute;margin-left:0;margin-top:229.7pt;width:204.1pt;height:16.9pt;z-index:251682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" fillcolor="white [3201]" stroked="f" strokeweight=".5pt">
                <v:textbox>
                  <w:txbxContent>
                    <w:p w14:paraId="0F4E3802" w14:textId="068BFA89" w:rsidR="003F4653" w:rsidRPr="003225B0" w:rsidRDefault="003F4653"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3F4653" w:rsidRPr="003225B0" w:rsidRDefault="003F4653" w:rsidP="003225B0">
                      <w:pPr>
                        <w:rPr>
                          <w:color w:val="595959" w:themeColor="text1" w:themeTint="A6"/>
                        </w:rPr>
                      </w:pPr>
                    </w:p>
                  </w:txbxContent>
                </v:textbox>
                <w10:wrap anchorx="margin"/>
              </v:shape>
            </w:pict>
          </mc:Fallback>
        </mc:AlternateContent>
      </w:r>
    </w:p>
    <w:p w14:paraId="1AAFA0F8" w14:textId="4816D1E4" w:rsidR="009A4E52" w:rsidRDefault="00395B32" w:rsidP="004970F6">
      <w:pPr>
        <w:pStyle w:val="NoSpacing"/>
        <w:rPr>
          <w:rFonts w:ascii="Arial" w:hAnsi="Arial" w:cs="Arial"/>
          <w:b/>
          <w:color w:val="00857C"/>
          <w:sz w:val="24"/>
          <w:szCs w:val="20"/>
        </w:rPr>
      </w:pPr>
      <w:r w:rsidRPr="00C230D2">
        <w:rPr>
          <w:rFonts w:ascii="Arial" w:hAnsi="Arial" w:cs="Arial"/>
          <w:bCs/>
          <w:noProof/>
          <w:color w:val="660066"/>
          <w:sz w:val="20"/>
          <w:szCs w:val="16"/>
          <w:lang w:val="nl-NL" w:eastAsia="nl-NL"/>
        </w:rPr>
        <w:lastRenderedPageBreak/>
        <w:drawing>
          <wp:anchor distT="0" distB="0" distL="114300" distR="114300" simplePos="0" relativeHeight="251692032" behindDoc="0" locked="0" layoutInCell="1" allowOverlap="1" wp14:anchorId="352AF376" wp14:editId="303546ED">
            <wp:simplePos x="0" y="0"/>
            <wp:positionH relativeFrom="margin">
              <wp:align>right</wp:align>
            </wp:positionH>
            <wp:positionV relativeFrom="paragraph">
              <wp:posOffset>281940</wp:posOffset>
            </wp:positionV>
            <wp:extent cx="6750685" cy="2321560"/>
            <wp:effectExtent l="0" t="0" r="0" b="2540"/>
            <wp:wrapSquare wrapText="bothSides"/>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44797809" w14:textId="6CE863A3" w:rsidR="00F616DF" w:rsidRDefault="00F616DF" w:rsidP="004970F6">
      <w:pPr>
        <w:pStyle w:val="NoSpacing"/>
        <w:rPr>
          <w:rFonts w:ascii="Arial" w:hAnsi="Arial" w:cs="Arial"/>
          <w:b/>
          <w:color w:val="00857C"/>
          <w:sz w:val="24"/>
          <w:szCs w:val="20"/>
        </w:rPr>
      </w:pPr>
    </w:p>
    <w:p w14:paraId="0D100CAD" w14:textId="169C1935"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t>Top Species</w:t>
      </w:r>
    </w:p>
    <w:p w14:paraId="4E92DD46" w14:textId="5ACF5688" w:rsidR="00FF2D5F" w:rsidRDefault="002C7B87" w:rsidP="00113D91">
      <w:pPr>
        <w:pStyle w:val="NoSpacing"/>
        <w:rPr>
          <w:rFonts w:ascii="Arial" w:hAnsi="Arial" w:cs="Arial"/>
          <w:color w:val="000000" w:themeColor="text1"/>
          <w:sz w:val="20"/>
          <w:szCs w:val="20"/>
        </w:rPr>
      </w:pPr>
      <w:r>
        <w:rPr>
          <w:rFonts w:ascii="Arial" w:hAnsi="Arial" w:cs="Arial"/>
          <w:color w:val="000000" w:themeColor="text1"/>
          <w:sz w:val="20"/>
          <w:szCs w:val="20"/>
        </w:rPr>
        <w:t>Salmon continued to dominate a</w:t>
      </w:r>
      <w:r w:rsidR="00F616DF">
        <w:rPr>
          <w:rFonts w:ascii="Arial" w:hAnsi="Arial" w:cs="Arial"/>
          <w:color w:val="000000" w:themeColor="text1"/>
          <w:sz w:val="20"/>
          <w:szCs w:val="20"/>
        </w:rPr>
        <w:t>t the species level, reaching $</w:t>
      </w:r>
      <w:r w:rsidR="00F53772">
        <w:rPr>
          <w:rFonts w:ascii="Arial" w:hAnsi="Arial" w:cs="Arial"/>
          <w:color w:val="000000" w:themeColor="text1"/>
          <w:sz w:val="20"/>
          <w:szCs w:val="20"/>
        </w:rPr>
        <w:t>344</w:t>
      </w:r>
      <w:r>
        <w:rPr>
          <w:rFonts w:ascii="Arial" w:hAnsi="Arial" w:cs="Arial"/>
          <w:color w:val="000000" w:themeColor="text1"/>
          <w:sz w:val="20"/>
          <w:szCs w:val="20"/>
        </w:rPr>
        <w:t xml:space="preserve"> million in </w:t>
      </w:r>
      <w:r w:rsidR="003F4653">
        <w:rPr>
          <w:rFonts w:ascii="Arial" w:hAnsi="Arial" w:cs="Arial"/>
          <w:color w:val="000000" w:themeColor="text1"/>
          <w:sz w:val="20"/>
          <w:szCs w:val="20"/>
        </w:rPr>
        <w:t>April</w:t>
      </w:r>
      <w:r w:rsidR="007A14AA">
        <w:rPr>
          <w:rFonts w:ascii="Arial" w:hAnsi="Arial" w:cs="Arial"/>
          <w:color w:val="000000" w:themeColor="text1"/>
          <w:sz w:val="20"/>
          <w:szCs w:val="20"/>
        </w:rPr>
        <w:t xml:space="preserve"> </w:t>
      </w:r>
      <w:r>
        <w:rPr>
          <w:rFonts w:ascii="Arial" w:hAnsi="Arial" w:cs="Arial"/>
          <w:color w:val="000000" w:themeColor="text1"/>
          <w:sz w:val="20"/>
          <w:szCs w:val="20"/>
        </w:rPr>
        <w:t>sales.</w:t>
      </w:r>
      <w:r w:rsidR="007A14AA">
        <w:rPr>
          <w:rFonts w:ascii="Arial" w:hAnsi="Arial" w:cs="Arial"/>
          <w:color w:val="000000" w:themeColor="text1"/>
          <w:sz w:val="20"/>
          <w:szCs w:val="20"/>
        </w:rPr>
        <w:t xml:space="preserve"> </w:t>
      </w:r>
      <w:r w:rsidR="00F53772">
        <w:rPr>
          <w:rFonts w:ascii="Arial" w:hAnsi="Arial" w:cs="Arial"/>
          <w:color w:val="000000" w:themeColor="text1"/>
          <w:sz w:val="20"/>
          <w:szCs w:val="20"/>
        </w:rPr>
        <w:t xml:space="preserve">Salmon had a good month, despite the Easter date mismatch, with 3.2% growth in pound sales. This is in line with the annual growth rate of 3.9%. Shrimp, crab and cod pound sales were down by double digits in April, while trout and lobster drove gains. </w:t>
      </w:r>
    </w:p>
    <w:p w14:paraId="354EB623" w14:textId="51AE177F" w:rsidR="00113D91" w:rsidRDefault="00113D91" w:rsidP="00113D91">
      <w:pPr>
        <w:pStyle w:val="NoSpacing"/>
      </w:pPr>
    </w:p>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40"/>
        <w:gridCol w:w="45"/>
        <w:gridCol w:w="1485"/>
        <w:gridCol w:w="1485"/>
        <w:gridCol w:w="1395"/>
      </w:tblGrid>
      <w:tr w:rsidR="00C75C35" w:rsidRPr="00A80540" w14:paraId="773006A3" w14:textId="77777777" w:rsidTr="009F1B4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0B28C1FE" w:rsidR="00C75C35" w:rsidRPr="00A80540" w:rsidRDefault="00C75C35" w:rsidP="00C75C35">
            <w:pPr>
              <w:pStyle w:val="NoSpacing"/>
              <w:rPr>
                <w:rFonts w:ascii="Arial" w:hAnsi="Arial" w:cs="Arial"/>
                <w:color w:val="FFFFFF" w:themeColor="background1"/>
                <w:sz w:val="18"/>
                <w:szCs w:val="18"/>
              </w:rPr>
            </w:pPr>
          </w:p>
        </w:tc>
        <w:tc>
          <w:tcPr>
            <w:tcW w:w="4230" w:type="dxa"/>
            <w:gridSpan w:val="3"/>
            <w:shd w:val="clear" w:color="auto" w:fill="17365D" w:themeFill="text2" w:themeFillShade="BF"/>
          </w:tcPr>
          <w:p w14:paraId="298942DC" w14:textId="3C707C02" w:rsidR="00C75C35" w:rsidRPr="00A80540" w:rsidRDefault="003F4653" w:rsidP="009F1B44">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April</w:t>
            </w:r>
            <w:r w:rsidR="00F34BCF">
              <w:rPr>
                <w:rFonts w:ascii="Arial" w:hAnsi="Arial" w:cs="Arial"/>
                <w:color w:val="FFFFFF" w:themeColor="background1"/>
                <w:sz w:val="18"/>
                <w:szCs w:val="18"/>
              </w:rPr>
              <w:t xml:space="preserve"> </w:t>
            </w:r>
            <w:r w:rsidR="006A6067">
              <w:rPr>
                <w:rFonts w:ascii="Arial" w:hAnsi="Arial" w:cs="Arial"/>
                <w:color w:val="FFFFFF" w:themeColor="background1"/>
                <w:sz w:val="18"/>
                <w:szCs w:val="18"/>
              </w:rPr>
              <w:t>2026</w:t>
            </w:r>
          </w:p>
        </w:tc>
        <w:tc>
          <w:tcPr>
            <w:tcW w:w="4410" w:type="dxa"/>
            <w:gridSpan w:val="4"/>
            <w:tcBorders>
              <w:left w:val="nil"/>
            </w:tcBorders>
            <w:shd w:val="clear" w:color="auto" w:fill="17365D" w:themeFill="text2" w:themeFillShade="BF"/>
          </w:tcPr>
          <w:p w14:paraId="11D6C429" w14:textId="224221A2"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gridSpan w:val="2"/>
            <w:shd w:val="clear" w:color="auto" w:fill="17365D" w:themeFill="text2" w:themeFillShade="BF"/>
          </w:tcPr>
          <w:p w14:paraId="22FB7A7A" w14:textId="77777777" w:rsidR="004F31D8" w:rsidRPr="00A80540" w:rsidRDefault="004F31D8" w:rsidP="009F1B4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85" w:type="dxa"/>
            <w:tcBorders>
              <w:left w:val="nil"/>
            </w:tcBorders>
            <w:shd w:val="clear" w:color="auto" w:fill="17365D" w:themeFill="text2" w:themeFillShade="BF"/>
          </w:tcPr>
          <w:p w14:paraId="249656B7" w14:textId="77777777" w:rsidR="004F31D8" w:rsidRPr="00A80540" w:rsidRDefault="004F31D8" w:rsidP="009F1B4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9F1B4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9F1B4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F616DF" w:rsidRPr="00B86F96" w14:paraId="16F40298" w14:textId="77777777" w:rsidTr="00D14B4F">
        <w:trPr>
          <w:trHeight w:val="1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4C9B0328" w14:textId="1B17A3DB" w:rsidR="00F616DF" w:rsidRPr="009F1B44" w:rsidRDefault="00F616DF" w:rsidP="00F616DF">
            <w:pPr>
              <w:pStyle w:val="NoSpacing"/>
              <w:rPr>
                <w:rFonts w:ascii="Arial" w:hAnsi="Arial" w:cs="Arial"/>
                <w:color w:val="000000" w:themeColor="text1"/>
                <w:sz w:val="18"/>
                <w:szCs w:val="18"/>
              </w:rPr>
            </w:pPr>
            <w:r w:rsidRPr="009F1B44">
              <w:rPr>
                <w:rFonts w:ascii="Arial" w:eastAsia="Times New Roman" w:hAnsi="Arial" w:cs="Arial"/>
                <w:color w:val="000000" w:themeColor="text1"/>
                <w:sz w:val="18"/>
                <w:szCs w:val="18"/>
              </w:rPr>
              <w:t>Total fresh seafood</w:t>
            </w:r>
          </w:p>
        </w:tc>
        <w:tc>
          <w:tcPr>
            <w:tcW w:w="1305" w:type="dxa"/>
          </w:tcPr>
          <w:p w14:paraId="71D4E4BA" w14:textId="4C791903" w:rsidR="00F616DF" w:rsidRPr="00395B32"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95B32">
              <w:rPr>
                <w:rFonts w:ascii="Arial" w:eastAsia="Times New Roman" w:hAnsi="Arial" w:cs="Arial"/>
                <w:b/>
                <w:bCs/>
                <w:color w:val="000000" w:themeColor="text1"/>
                <w:sz w:val="18"/>
                <w:szCs w:val="18"/>
              </w:rPr>
              <w:t>$</w:t>
            </w:r>
            <w:r w:rsidR="009A2FFD" w:rsidRPr="00395B32">
              <w:rPr>
                <w:rFonts w:ascii="Arial" w:eastAsia="Times New Roman" w:hAnsi="Arial" w:cs="Arial"/>
                <w:b/>
                <w:bCs/>
                <w:color w:val="000000" w:themeColor="text1"/>
                <w:sz w:val="18"/>
                <w:szCs w:val="18"/>
              </w:rPr>
              <w:t>678.8</w:t>
            </w:r>
            <w:r w:rsidRPr="00395B32">
              <w:rPr>
                <w:rFonts w:ascii="Arial" w:eastAsia="Times New Roman" w:hAnsi="Arial" w:cs="Arial"/>
                <w:b/>
                <w:bCs/>
                <w:color w:val="000000" w:themeColor="text1"/>
                <w:sz w:val="18"/>
                <w:szCs w:val="18"/>
              </w:rPr>
              <w:t>M</w:t>
            </w:r>
          </w:p>
        </w:tc>
        <w:tc>
          <w:tcPr>
            <w:tcW w:w="1485" w:type="dxa"/>
          </w:tcPr>
          <w:p w14:paraId="0F57B38D" w14:textId="1FD47A8D" w:rsidR="00F616DF" w:rsidRPr="00395B32"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95B32">
              <w:rPr>
                <w:rFonts w:ascii="Arial" w:hAnsi="Arial" w:cs="Arial"/>
                <w:b/>
                <w:bCs/>
                <w:color w:val="000000"/>
                <w:sz w:val="18"/>
                <w:szCs w:val="18"/>
              </w:rPr>
              <w:t>+</w:t>
            </w:r>
            <w:r w:rsidR="009A2FFD" w:rsidRPr="00395B32">
              <w:rPr>
                <w:rFonts w:ascii="Arial" w:hAnsi="Arial" w:cs="Arial"/>
                <w:b/>
                <w:bCs/>
                <w:color w:val="000000"/>
                <w:sz w:val="18"/>
                <w:szCs w:val="18"/>
              </w:rPr>
              <w:t>0.6</w:t>
            </w:r>
            <w:r w:rsidRPr="00395B32">
              <w:rPr>
                <w:rFonts w:ascii="Arial" w:hAnsi="Arial" w:cs="Arial"/>
                <w:b/>
                <w:bCs/>
                <w:color w:val="000000"/>
                <w:sz w:val="18"/>
                <w:szCs w:val="18"/>
              </w:rPr>
              <w:t>%</w:t>
            </w:r>
          </w:p>
        </w:tc>
        <w:tc>
          <w:tcPr>
            <w:tcW w:w="1485" w:type="dxa"/>
            <w:gridSpan w:val="2"/>
            <w:tcBorders>
              <w:right w:val="single" w:sz="4" w:space="0" w:color="auto"/>
            </w:tcBorders>
          </w:tcPr>
          <w:p w14:paraId="328FE4FE" w14:textId="1565D5F6" w:rsidR="00F616DF" w:rsidRPr="00395B32" w:rsidRDefault="009A2FFD"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95B32">
              <w:rPr>
                <w:rFonts w:ascii="Arial" w:hAnsi="Arial" w:cs="Arial"/>
                <w:b/>
                <w:bCs/>
                <w:color w:val="000000"/>
                <w:sz w:val="18"/>
                <w:szCs w:val="18"/>
              </w:rPr>
              <w:t>-3.9</w:t>
            </w:r>
            <w:r w:rsidR="00F616DF" w:rsidRPr="00395B32">
              <w:rPr>
                <w:rFonts w:ascii="Arial" w:hAnsi="Arial" w:cs="Arial"/>
                <w:b/>
                <w:bCs/>
                <w:color w:val="000000"/>
                <w:sz w:val="18"/>
                <w:szCs w:val="18"/>
              </w:rPr>
              <w:t>%</w:t>
            </w:r>
          </w:p>
        </w:tc>
        <w:tc>
          <w:tcPr>
            <w:tcW w:w="1485" w:type="dxa"/>
            <w:tcBorders>
              <w:left w:val="single" w:sz="4" w:space="0" w:color="auto"/>
            </w:tcBorders>
            <w:vAlign w:val="bottom"/>
          </w:tcPr>
          <w:p w14:paraId="5550A3A9" w14:textId="61B57B8B" w:rsidR="00F616DF" w:rsidRPr="00395B32"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95B32">
              <w:rPr>
                <w:rFonts w:ascii="Arial" w:hAnsi="Arial" w:cs="Arial"/>
                <w:b/>
                <w:bCs/>
                <w:color w:val="000000"/>
                <w:sz w:val="18"/>
                <w:szCs w:val="18"/>
              </w:rPr>
              <w:t>$</w:t>
            </w:r>
            <w:r w:rsidR="00F53772" w:rsidRPr="00395B32">
              <w:rPr>
                <w:rFonts w:ascii="Arial" w:hAnsi="Arial" w:cs="Arial"/>
                <w:b/>
                <w:bCs/>
                <w:color w:val="000000"/>
                <w:sz w:val="18"/>
                <w:szCs w:val="18"/>
              </w:rPr>
              <w:t>8.74</w:t>
            </w:r>
            <w:r w:rsidRPr="00395B32">
              <w:rPr>
                <w:rFonts w:ascii="Arial" w:hAnsi="Arial" w:cs="Arial"/>
                <w:b/>
                <w:bCs/>
                <w:color w:val="000000"/>
                <w:sz w:val="18"/>
                <w:szCs w:val="18"/>
              </w:rPr>
              <w:t>B</w:t>
            </w:r>
          </w:p>
        </w:tc>
        <w:tc>
          <w:tcPr>
            <w:tcW w:w="1485" w:type="dxa"/>
          </w:tcPr>
          <w:p w14:paraId="11A37DDD" w14:textId="2AAE934E" w:rsidR="00F616DF" w:rsidRPr="00395B32"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95B32">
              <w:rPr>
                <w:rFonts w:ascii="Arial" w:hAnsi="Arial" w:cs="Arial"/>
                <w:b/>
                <w:bCs/>
                <w:color w:val="000000"/>
                <w:sz w:val="18"/>
                <w:szCs w:val="18"/>
              </w:rPr>
              <w:t>+</w:t>
            </w:r>
            <w:r w:rsidR="00F53772" w:rsidRPr="00395B32">
              <w:rPr>
                <w:rFonts w:ascii="Arial" w:hAnsi="Arial" w:cs="Arial"/>
                <w:b/>
                <w:bCs/>
                <w:color w:val="000000"/>
                <w:sz w:val="18"/>
                <w:szCs w:val="18"/>
              </w:rPr>
              <w:t>2.3</w:t>
            </w:r>
            <w:r w:rsidRPr="00395B32">
              <w:rPr>
                <w:rFonts w:ascii="Arial" w:hAnsi="Arial" w:cs="Arial"/>
                <w:b/>
                <w:bCs/>
                <w:color w:val="000000"/>
                <w:sz w:val="18"/>
                <w:szCs w:val="18"/>
              </w:rPr>
              <w:t>%</w:t>
            </w:r>
          </w:p>
        </w:tc>
        <w:tc>
          <w:tcPr>
            <w:tcW w:w="1395" w:type="dxa"/>
          </w:tcPr>
          <w:p w14:paraId="4820373D" w14:textId="2F3F1D98" w:rsidR="00F616DF" w:rsidRPr="00395B32" w:rsidRDefault="00F53772"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95B32">
              <w:rPr>
                <w:rFonts w:ascii="Arial" w:hAnsi="Arial" w:cs="Arial"/>
                <w:b/>
                <w:bCs/>
                <w:color w:val="000000"/>
                <w:sz w:val="18"/>
                <w:szCs w:val="18"/>
              </w:rPr>
              <w:t>-0.4</w:t>
            </w:r>
            <w:r w:rsidR="00F616DF" w:rsidRPr="00395B32">
              <w:rPr>
                <w:rFonts w:ascii="Arial" w:hAnsi="Arial" w:cs="Arial"/>
                <w:b/>
                <w:bCs/>
                <w:color w:val="000000"/>
                <w:sz w:val="18"/>
                <w:szCs w:val="18"/>
              </w:rPr>
              <w:t>%</w:t>
            </w:r>
          </w:p>
        </w:tc>
      </w:tr>
      <w:tr w:rsidR="00F616DF" w:rsidRPr="00F15260" w14:paraId="53921754" w14:textId="77777777" w:rsidTr="00D14B4F">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F616DF" w:rsidRPr="009F1B44" w:rsidRDefault="00F616DF" w:rsidP="00F616DF">
            <w:pPr>
              <w:pStyle w:val="NoSpacing"/>
              <w:rPr>
                <w:rFonts w:ascii="Arial" w:hAnsi="Arial" w:cs="Arial"/>
                <w:b w:val="0"/>
                <w:bCs w:val="0"/>
                <w:color w:val="000000" w:themeColor="text1"/>
                <w:sz w:val="18"/>
                <w:szCs w:val="18"/>
              </w:rPr>
            </w:pPr>
            <w:r w:rsidRPr="009F1B44">
              <w:rPr>
                <w:rFonts w:ascii="Arial" w:eastAsia="Times New Roman" w:hAnsi="Arial" w:cs="Arial"/>
                <w:b w:val="0"/>
                <w:color w:val="000000" w:themeColor="text1"/>
                <w:sz w:val="18"/>
                <w:szCs w:val="18"/>
              </w:rPr>
              <w:t>Salmon</w:t>
            </w:r>
          </w:p>
        </w:tc>
        <w:tc>
          <w:tcPr>
            <w:tcW w:w="1305" w:type="dxa"/>
          </w:tcPr>
          <w:p w14:paraId="646CFFE0" w14:textId="6803B2E7"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E6D14">
              <w:rPr>
                <w:rFonts w:ascii="Arial" w:eastAsia="Times New Roman" w:hAnsi="Arial" w:cs="Arial"/>
                <w:color w:val="000000" w:themeColor="text1"/>
                <w:sz w:val="18"/>
                <w:szCs w:val="18"/>
              </w:rPr>
              <w:t>$</w:t>
            </w:r>
            <w:r w:rsidR="009A2FFD">
              <w:rPr>
                <w:rFonts w:ascii="Arial" w:eastAsia="Times New Roman" w:hAnsi="Arial" w:cs="Arial"/>
                <w:color w:val="000000" w:themeColor="text1"/>
                <w:sz w:val="18"/>
                <w:szCs w:val="18"/>
              </w:rPr>
              <w:t>344.1</w:t>
            </w:r>
            <w:r w:rsidRPr="00EE6D14">
              <w:rPr>
                <w:rFonts w:ascii="Arial" w:eastAsia="Times New Roman" w:hAnsi="Arial" w:cs="Arial"/>
                <w:color w:val="000000" w:themeColor="text1"/>
                <w:sz w:val="18"/>
                <w:szCs w:val="18"/>
              </w:rPr>
              <w:t>M</w:t>
            </w:r>
          </w:p>
        </w:tc>
        <w:tc>
          <w:tcPr>
            <w:tcW w:w="1485" w:type="dxa"/>
          </w:tcPr>
          <w:p w14:paraId="44A1328E" w14:textId="4E50A0AC"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B6BF5">
              <w:rPr>
                <w:rFonts w:ascii="Arial" w:hAnsi="Arial" w:cs="Arial"/>
                <w:color w:val="000000"/>
                <w:sz w:val="18"/>
                <w:szCs w:val="18"/>
              </w:rPr>
              <w:t>+</w:t>
            </w:r>
            <w:r w:rsidR="009A2FFD">
              <w:rPr>
                <w:rFonts w:ascii="Arial" w:hAnsi="Arial" w:cs="Arial"/>
                <w:color w:val="000000"/>
                <w:sz w:val="18"/>
                <w:szCs w:val="18"/>
              </w:rPr>
              <w:t>6.9</w:t>
            </w:r>
            <w:r w:rsidRPr="000B6BF5">
              <w:rPr>
                <w:rFonts w:ascii="Arial" w:hAnsi="Arial" w:cs="Arial"/>
                <w:color w:val="000000"/>
                <w:sz w:val="18"/>
                <w:szCs w:val="18"/>
              </w:rPr>
              <w:t>%</w:t>
            </w:r>
          </w:p>
        </w:tc>
        <w:tc>
          <w:tcPr>
            <w:tcW w:w="1485" w:type="dxa"/>
            <w:gridSpan w:val="2"/>
            <w:tcBorders>
              <w:right w:val="single" w:sz="4" w:space="0" w:color="auto"/>
            </w:tcBorders>
          </w:tcPr>
          <w:p w14:paraId="771D46ED" w14:textId="574D7026" w:rsidR="00F616DF" w:rsidRPr="009F1B44" w:rsidRDefault="009A2FFD"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+3.2</w:t>
            </w:r>
            <w:r w:rsidR="00F616DF" w:rsidRPr="00C84318">
              <w:rPr>
                <w:rFonts w:ascii="Arial" w:hAnsi="Arial" w:cs="Arial"/>
                <w:color w:val="000000"/>
                <w:sz w:val="18"/>
                <w:szCs w:val="18"/>
              </w:rPr>
              <w:t>%</w:t>
            </w:r>
          </w:p>
        </w:tc>
        <w:tc>
          <w:tcPr>
            <w:tcW w:w="1485" w:type="dxa"/>
            <w:tcBorders>
              <w:left w:val="single" w:sz="4" w:space="0" w:color="auto"/>
            </w:tcBorders>
            <w:vAlign w:val="bottom"/>
          </w:tcPr>
          <w:p w14:paraId="3936EE08" w14:textId="785EF9B9"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F53772">
              <w:rPr>
                <w:rFonts w:ascii="Arial" w:hAnsi="Arial" w:cs="Arial"/>
                <w:color w:val="000000"/>
                <w:sz w:val="18"/>
                <w:szCs w:val="18"/>
              </w:rPr>
              <w:t>4.19</w:t>
            </w:r>
            <w:r>
              <w:rPr>
                <w:rFonts w:ascii="Arial" w:hAnsi="Arial" w:cs="Arial"/>
                <w:color w:val="000000"/>
                <w:sz w:val="18"/>
                <w:szCs w:val="18"/>
              </w:rPr>
              <w:t>B</w:t>
            </w:r>
          </w:p>
        </w:tc>
        <w:tc>
          <w:tcPr>
            <w:tcW w:w="1485" w:type="dxa"/>
          </w:tcPr>
          <w:p w14:paraId="0B566D2B" w14:textId="673B2A63"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E7418">
              <w:rPr>
                <w:rFonts w:ascii="Arial" w:hAnsi="Arial" w:cs="Arial"/>
                <w:color w:val="000000"/>
                <w:sz w:val="18"/>
                <w:szCs w:val="18"/>
              </w:rPr>
              <w:t>+</w:t>
            </w:r>
            <w:r w:rsidR="00F53772">
              <w:rPr>
                <w:rFonts w:ascii="Arial" w:hAnsi="Arial" w:cs="Arial"/>
                <w:color w:val="000000"/>
                <w:sz w:val="18"/>
                <w:szCs w:val="18"/>
              </w:rPr>
              <w:t>5.9</w:t>
            </w:r>
            <w:r w:rsidRPr="002E7418">
              <w:rPr>
                <w:rFonts w:ascii="Arial" w:hAnsi="Arial" w:cs="Arial"/>
                <w:color w:val="000000"/>
                <w:sz w:val="18"/>
                <w:szCs w:val="18"/>
              </w:rPr>
              <w:t>%</w:t>
            </w:r>
          </w:p>
        </w:tc>
        <w:tc>
          <w:tcPr>
            <w:tcW w:w="1395" w:type="dxa"/>
          </w:tcPr>
          <w:p w14:paraId="0DA6D04F" w14:textId="36236AF0"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E7418">
              <w:rPr>
                <w:rFonts w:ascii="Arial" w:hAnsi="Arial" w:cs="Arial"/>
                <w:color w:val="000000"/>
                <w:sz w:val="18"/>
                <w:szCs w:val="18"/>
              </w:rPr>
              <w:t>+</w:t>
            </w:r>
            <w:r w:rsidR="00F53772">
              <w:rPr>
                <w:rFonts w:ascii="Arial" w:hAnsi="Arial" w:cs="Arial"/>
                <w:color w:val="000000"/>
                <w:sz w:val="18"/>
                <w:szCs w:val="18"/>
              </w:rPr>
              <w:t>3.9</w:t>
            </w:r>
            <w:r w:rsidRPr="002E7418">
              <w:rPr>
                <w:rFonts w:ascii="Arial" w:hAnsi="Arial" w:cs="Arial"/>
                <w:color w:val="000000"/>
                <w:sz w:val="18"/>
                <w:szCs w:val="18"/>
              </w:rPr>
              <w:t>%</w:t>
            </w:r>
          </w:p>
        </w:tc>
      </w:tr>
      <w:tr w:rsidR="00F616DF" w:rsidRPr="00F15260" w14:paraId="4DE47A61" w14:textId="77777777" w:rsidTr="00B655D6">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50AD35F" w14:textId="77777777" w:rsidR="00F616DF" w:rsidRPr="009F1B44" w:rsidRDefault="00F616DF" w:rsidP="00F616DF">
            <w:pPr>
              <w:pStyle w:val="NoSpacing"/>
              <w:rPr>
                <w:rFonts w:ascii="Arial" w:eastAsia="Times New Roman" w:hAnsi="Arial" w:cs="Arial"/>
                <w:b w:val="0"/>
                <w:bCs w:val="0"/>
                <w:color w:val="000000" w:themeColor="text1"/>
                <w:sz w:val="18"/>
                <w:szCs w:val="18"/>
              </w:rPr>
            </w:pPr>
            <w:r w:rsidRPr="009F1B44">
              <w:rPr>
                <w:rFonts w:ascii="Arial" w:eastAsia="Times New Roman" w:hAnsi="Arial" w:cs="Arial"/>
                <w:b w:val="0"/>
                <w:bCs w:val="0"/>
                <w:color w:val="000000" w:themeColor="text1"/>
                <w:sz w:val="18"/>
                <w:szCs w:val="18"/>
              </w:rPr>
              <w:t>Shrimp</w:t>
            </w:r>
          </w:p>
        </w:tc>
        <w:tc>
          <w:tcPr>
            <w:tcW w:w="1305" w:type="dxa"/>
          </w:tcPr>
          <w:p w14:paraId="0B5B8921" w14:textId="06D41C8F"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E6D14">
              <w:rPr>
                <w:rFonts w:ascii="Arial" w:eastAsia="Times New Roman" w:hAnsi="Arial" w:cs="Arial"/>
                <w:color w:val="000000" w:themeColor="text1"/>
                <w:sz w:val="18"/>
                <w:szCs w:val="18"/>
              </w:rPr>
              <w:t>$</w:t>
            </w:r>
            <w:r w:rsidR="009A2FFD">
              <w:rPr>
                <w:rFonts w:ascii="Arial" w:eastAsia="Times New Roman" w:hAnsi="Arial" w:cs="Arial"/>
                <w:color w:val="000000" w:themeColor="text1"/>
                <w:sz w:val="18"/>
                <w:szCs w:val="18"/>
              </w:rPr>
              <w:t>69.5</w:t>
            </w:r>
            <w:r w:rsidRPr="00EE6D14">
              <w:rPr>
                <w:rFonts w:ascii="Arial" w:eastAsia="Times New Roman" w:hAnsi="Arial" w:cs="Arial"/>
                <w:color w:val="000000" w:themeColor="text1"/>
                <w:sz w:val="18"/>
                <w:szCs w:val="18"/>
              </w:rPr>
              <w:t>M</w:t>
            </w:r>
          </w:p>
        </w:tc>
        <w:tc>
          <w:tcPr>
            <w:tcW w:w="1485" w:type="dxa"/>
          </w:tcPr>
          <w:p w14:paraId="51A87182" w14:textId="3914F138"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B7670">
              <w:rPr>
                <w:rFonts w:ascii="Arial" w:hAnsi="Arial" w:cs="Arial"/>
                <w:color w:val="000000"/>
                <w:sz w:val="18"/>
                <w:szCs w:val="18"/>
              </w:rPr>
              <w:t>-</w:t>
            </w:r>
            <w:r w:rsidR="009A2FFD">
              <w:rPr>
                <w:rFonts w:ascii="Arial" w:hAnsi="Arial" w:cs="Arial"/>
                <w:color w:val="000000"/>
                <w:sz w:val="18"/>
                <w:szCs w:val="18"/>
              </w:rPr>
              <w:t>10.3</w:t>
            </w:r>
            <w:r w:rsidRPr="004B7670">
              <w:rPr>
                <w:rFonts w:ascii="Arial" w:hAnsi="Arial" w:cs="Arial"/>
                <w:color w:val="000000"/>
                <w:sz w:val="18"/>
                <w:szCs w:val="18"/>
              </w:rPr>
              <w:t>%</w:t>
            </w:r>
          </w:p>
        </w:tc>
        <w:tc>
          <w:tcPr>
            <w:tcW w:w="1485" w:type="dxa"/>
            <w:gridSpan w:val="2"/>
            <w:tcBorders>
              <w:right w:val="single" w:sz="4" w:space="0" w:color="auto"/>
            </w:tcBorders>
          </w:tcPr>
          <w:p w14:paraId="46175CBF" w14:textId="08421373"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84318">
              <w:rPr>
                <w:rFonts w:ascii="Arial" w:hAnsi="Arial" w:cs="Arial"/>
                <w:color w:val="000000"/>
                <w:sz w:val="18"/>
                <w:szCs w:val="18"/>
              </w:rPr>
              <w:t>-</w:t>
            </w:r>
            <w:r w:rsidR="009A2FFD">
              <w:rPr>
                <w:rFonts w:ascii="Arial" w:hAnsi="Arial" w:cs="Arial"/>
                <w:color w:val="000000"/>
                <w:sz w:val="18"/>
                <w:szCs w:val="18"/>
              </w:rPr>
              <w:t>19.2</w:t>
            </w:r>
            <w:r w:rsidRPr="00C84318">
              <w:rPr>
                <w:rFonts w:ascii="Arial" w:hAnsi="Arial" w:cs="Arial"/>
                <w:color w:val="000000"/>
                <w:sz w:val="18"/>
                <w:szCs w:val="18"/>
              </w:rPr>
              <w:t>%</w:t>
            </w:r>
          </w:p>
        </w:tc>
        <w:tc>
          <w:tcPr>
            <w:tcW w:w="1485" w:type="dxa"/>
            <w:tcBorders>
              <w:left w:val="single" w:sz="4" w:space="0" w:color="auto"/>
            </w:tcBorders>
          </w:tcPr>
          <w:p w14:paraId="094DE109" w14:textId="00122649"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6A4F">
              <w:rPr>
                <w:rFonts w:ascii="Arial" w:eastAsia="Times New Roman" w:hAnsi="Arial" w:cs="Arial"/>
                <w:color w:val="000000" w:themeColor="text1"/>
                <w:sz w:val="18"/>
                <w:szCs w:val="18"/>
              </w:rPr>
              <w:t>$</w:t>
            </w:r>
            <w:r w:rsidR="00F53772">
              <w:rPr>
                <w:rFonts w:ascii="Arial" w:eastAsia="Times New Roman" w:hAnsi="Arial" w:cs="Arial"/>
                <w:color w:val="000000" w:themeColor="text1"/>
                <w:sz w:val="18"/>
                <w:szCs w:val="18"/>
              </w:rPr>
              <w:t>931.8</w:t>
            </w:r>
            <w:r w:rsidRPr="008B6A4F">
              <w:rPr>
                <w:rFonts w:ascii="Arial" w:eastAsia="Times New Roman" w:hAnsi="Arial" w:cs="Arial"/>
                <w:color w:val="000000" w:themeColor="text1"/>
                <w:sz w:val="18"/>
                <w:szCs w:val="18"/>
              </w:rPr>
              <w:t>M</w:t>
            </w:r>
          </w:p>
        </w:tc>
        <w:tc>
          <w:tcPr>
            <w:tcW w:w="1485" w:type="dxa"/>
          </w:tcPr>
          <w:p w14:paraId="0BBEBAFD" w14:textId="226C9434"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E7418">
              <w:rPr>
                <w:rFonts w:ascii="Arial" w:hAnsi="Arial" w:cs="Arial"/>
                <w:color w:val="000000"/>
                <w:sz w:val="18"/>
                <w:szCs w:val="18"/>
              </w:rPr>
              <w:t>+</w:t>
            </w:r>
            <w:r w:rsidR="00F53772">
              <w:rPr>
                <w:rFonts w:ascii="Arial" w:hAnsi="Arial" w:cs="Arial"/>
                <w:color w:val="000000"/>
                <w:sz w:val="18"/>
                <w:szCs w:val="18"/>
              </w:rPr>
              <w:t>1.7</w:t>
            </w:r>
            <w:r w:rsidRPr="002E7418">
              <w:rPr>
                <w:rFonts w:ascii="Arial" w:hAnsi="Arial" w:cs="Arial"/>
                <w:color w:val="000000"/>
                <w:sz w:val="18"/>
                <w:szCs w:val="18"/>
              </w:rPr>
              <w:t>%</w:t>
            </w:r>
          </w:p>
        </w:tc>
        <w:tc>
          <w:tcPr>
            <w:tcW w:w="1395" w:type="dxa"/>
          </w:tcPr>
          <w:p w14:paraId="2F182F8A" w14:textId="25C6EF75" w:rsidR="00F616DF" w:rsidRPr="009F1B44" w:rsidRDefault="00F53772"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-4.4</w:t>
            </w:r>
            <w:r w:rsidR="00F616DF" w:rsidRPr="002E7418">
              <w:rPr>
                <w:rFonts w:ascii="Arial" w:hAnsi="Arial" w:cs="Arial"/>
                <w:color w:val="000000"/>
                <w:sz w:val="18"/>
                <w:szCs w:val="18"/>
              </w:rPr>
              <w:t>%</w:t>
            </w:r>
          </w:p>
        </w:tc>
      </w:tr>
      <w:tr w:rsidR="00F616DF" w:rsidRPr="00F15260" w14:paraId="0DE7CFA5" w14:textId="77777777" w:rsidTr="00B655D6">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90" w:type="dxa"/>
          </w:tcPr>
          <w:p w14:paraId="0FA2F5BA" w14:textId="77777777" w:rsidR="00F616DF" w:rsidRPr="009F1B44" w:rsidRDefault="00F616DF" w:rsidP="00F616DF">
            <w:pPr>
              <w:pStyle w:val="NoSpacing"/>
              <w:rPr>
                <w:rFonts w:ascii="Arial" w:hAnsi="Arial" w:cs="Arial"/>
                <w:b w:val="0"/>
                <w:bCs w:val="0"/>
                <w:color w:val="000000" w:themeColor="text1"/>
                <w:sz w:val="18"/>
                <w:szCs w:val="18"/>
              </w:rPr>
            </w:pPr>
            <w:r w:rsidRPr="009F1B44">
              <w:rPr>
                <w:rFonts w:ascii="Arial" w:eastAsia="Times New Roman" w:hAnsi="Arial" w:cs="Arial"/>
                <w:b w:val="0"/>
                <w:color w:val="000000" w:themeColor="text1"/>
                <w:sz w:val="18"/>
                <w:szCs w:val="18"/>
              </w:rPr>
              <w:t>Crab</w:t>
            </w:r>
          </w:p>
        </w:tc>
        <w:tc>
          <w:tcPr>
            <w:tcW w:w="1305" w:type="dxa"/>
          </w:tcPr>
          <w:p w14:paraId="79B9AC78" w14:textId="1F388A52"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E6D14">
              <w:rPr>
                <w:rFonts w:ascii="Arial" w:eastAsia="Times New Roman" w:hAnsi="Arial" w:cs="Arial"/>
                <w:color w:val="000000" w:themeColor="text1"/>
                <w:sz w:val="18"/>
                <w:szCs w:val="18"/>
              </w:rPr>
              <w:t>$</w:t>
            </w:r>
            <w:r w:rsidR="009A2FFD">
              <w:rPr>
                <w:rFonts w:ascii="Arial" w:eastAsia="Times New Roman" w:hAnsi="Arial" w:cs="Arial"/>
                <w:color w:val="000000" w:themeColor="text1"/>
                <w:sz w:val="18"/>
                <w:szCs w:val="18"/>
              </w:rPr>
              <w:t>57.3</w:t>
            </w:r>
            <w:r w:rsidRPr="00EE6D14">
              <w:rPr>
                <w:rFonts w:ascii="Arial" w:eastAsia="Times New Roman" w:hAnsi="Arial" w:cs="Arial"/>
                <w:color w:val="000000" w:themeColor="text1"/>
                <w:sz w:val="18"/>
                <w:szCs w:val="18"/>
              </w:rPr>
              <w:t>M</w:t>
            </w:r>
          </w:p>
        </w:tc>
        <w:tc>
          <w:tcPr>
            <w:tcW w:w="1485" w:type="dxa"/>
          </w:tcPr>
          <w:p w14:paraId="631A77DF" w14:textId="25FBA5B4"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B7670">
              <w:rPr>
                <w:rFonts w:ascii="Arial" w:hAnsi="Arial" w:cs="Arial"/>
                <w:color w:val="000000"/>
                <w:sz w:val="18"/>
                <w:szCs w:val="18"/>
              </w:rPr>
              <w:t>-</w:t>
            </w:r>
            <w:r w:rsidR="009A2FFD">
              <w:rPr>
                <w:rFonts w:ascii="Arial" w:hAnsi="Arial" w:cs="Arial"/>
                <w:color w:val="000000"/>
                <w:sz w:val="18"/>
                <w:szCs w:val="18"/>
              </w:rPr>
              <w:t>3.6</w:t>
            </w:r>
            <w:r w:rsidRPr="004B7670">
              <w:rPr>
                <w:rFonts w:ascii="Arial" w:hAnsi="Arial" w:cs="Arial"/>
                <w:color w:val="000000"/>
                <w:sz w:val="18"/>
                <w:szCs w:val="18"/>
              </w:rPr>
              <w:t>%</w:t>
            </w:r>
          </w:p>
        </w:tc>
        <w:tc>
          <w:tcPr>
            <w:tcW w:w="1485" w:type="dxa"/>
            <w:gridSpan w:val="2"/>
            <w:tcBorders>
              <w:right w:val="single" w:sz="4" w:space="0" w:color="auto"/>
            </w:tcBorders>
          </w:tcPr>
          <w:p w14:paraId="09757EA8" w14:textId="79455544"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84318">
              <w:rPr>
                <w:rFonts w:ascii="Arial" w:hAnsi="Arial" w:cs="Arial"/>
                <w:color w:val="000000"/>
                <w:sz w:val="18"/>
                <w:szCs w:val="18"/>
              </w:rPr>
              <w:t>-</w:t>
            </w:r>
            <w:r w:rsidR="009A2FFD">
              <w:rPr>
                <w:rFonts w:ascii="Arial" w:hAnsi="Arial" w:cs="Arial"/>
                <w:color w:val="000000"/>
                <w:sz w:val="18"/>
                <w:szCs w:val="18"/>
              </w:rPr>
              <w:t>10.1</w:t>
            </w:r>
            <w:r w:rsidRPr="00C84318">
              <w:rPr>
                <w:rFonts w:ascii="Arial" w:hAnsi="Arial" w:cs="Arial"/>
                <w:color w:val="000000"/>
                <w:sz w:val="18"/>
                <w:szCs w:val="18"/>
              </w:rPr>
              <w:t>%</w:t>
            </w:r>
          </w:p>
        </w:tc>
        <w:tc>
          <w:tcPr>
            <w:tcW w:w="1485" w:type="dxa"/>
            <w:tcBorders>
              <w:left w:val="single" w:sz="4" w:space="0" w:color="auto"/>
            </w:tcBorders>
          </w:tcPr>
          <w:p w14:paraId="7B88A1EF" w14:textId="50237369"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B6A4F">
              <w:rPr>
                <w:rFonts w:ascii="Arial" w:eastAsia="Times New Roman" w:hAnsi="Arial" w:cs="Arial"/>
                <w:color w:val="000000" w:themeColor="text1"/>
                <w:sz w:val="18"/>
                <w:szCs w:val="18"/>
              </w:rPr>
              <w:t>$</w:t>
            </w:r>
            <w:r w:rsidR="00F53772">
              <w:rPr>
                <w:rFonts w:ascii="Arial" w:eastAsia="Times New Roman" w:hAnsi="Arial" w:cs="Arial"/>
                <w:color w:val="000000" w:themeColor="text1"/>
                <w:sz w:val="18"/>
                <w:szCs w:val="18"/>
              </w:rPr>
              <w:t>866.3</w:t>
            </w:r>
            <w:r w:rsidRPr="008B6A4F">
              <w:rPr>
                <w:rFonts w:ascii="Arial" w:eastAsia="Times New Roman" w:hAnsi="Arial" w:cs="Arial"/>
                <w:color w:val="000000" w:themeColor="text1"/>
                <w:sz w:val="18"/>
                <w:szCs w:val="18"/>
              </w:rPr>
              <w:t>M</w:t>
            </w:r>
          </w:p>
        </w:tc>
        <w:tc>
          <w:tcPr>
            <w:tcW w:w="1485" w:type="dxa"/>
          </w:tcPr>
          <w:p w14:paraId="43B942CA" w14:textId="4419EE24" w:rsidR="00F616DF" w:rsidRPr="009F1B44" w:rsidRDefault="00F53772"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-9.8</w:t>
            </w:r>
            <w:r w:rsidR="00F616DF" w:rsidRPr="002E7418">
              <w:rPr>
                <w:rFonts w:ascii="Arial" w:hAnsi="Arial" w:cs="Arial"/>
                <w:color w:val="000000"/>
                <w:sz w:val="18"/>
                <w:szCs w:val="18"/>
              </w:rPr>
              <w:t>%</w:t>
            </w:r>
          </w:p>
        </w:tc>
        <w:tc>
          <w:tcPr>
            <w:tcW w:w="1395" w:type="dxa"/>
          </w:tcPr>
          <w:p w14:paraId="354407B1" w14:textId="2C6B4375" w:rsidR="00F616DF" w:rsidRPr="009F1B44" w:rsidRDefault="00F53772"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-21.6</w:t>
            </w:r>
            <w:r w:rsidR="00F616DF" w:rsidRPr="002E7418">
              <w:rPr>
                <w:rFonts w:ascii="Arial" w:hAnsi="Arial" w:cs="Arial"/>
                <w:color w:val="000000"/>
                <w:sz w:val="18"/>
                <w:szCs w:val="18"/>
              </w:rPr>
              <w:t>%</w:t>
            </w:r>
          </w:p>
        </w:tc>
      </w:tr>
      <w:tr w:rsidR="00F616DF" w:rsidRPr="00F15260" w14:paraId="5834C52B" w14:textId="77777777" w:rsidTr="004B1D7C">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3B0C8D84" w14:textId="77777777" w:rsidR="00F616DF" w:rsidRPr="009F1B44" w:rsidRDefault="00F616DF" w:rsidP="00F616DF">
            <w:pPr>
              <w:pStyle w:val="NoSpacing"/>
              <w:rPr>
                <w:rFonts w:ascii="Arial" w:eastAsia="Times New Roman" w:hAnsi="Arial" w:cs="Arial"/>
                <w:b w:val="0"/>
                <w:bCs w:val="0"/>
                <w:color w:val="000000" w:themeColor="text1"/>
                <w:sz w:val="18"/>
                <w:szCs w:val="18"/>
              </w:rPr>
            </w:pPr>
            <w:r w:rsidRPr="009F1B44">
              <w:rPr>
                <w:rFonts w:ascii="Arial" w:eastAsia="Times New Roman" w:hAnsi="Arial" w:cs="Arial"/>
                <w:b w:val="0"/>
                <w:bCs w:val="0"/>
                <w:color w:val="000000" w:themeColor="text1"/>
                <w:sz w:val="18"/>
                <w:szCs w:val="18"/>
              </w:rPr>
              <w:t>Tilapia</w:t>
            </w:r>
          </w:p>
        </w:tc>
        <w:tc>
          <w:tcPr>
            <w:tcW w:w="1305" w:type="dxa"/>
          </w:tcPr>
          <w:p w14:paraId="6B9DCB81" w14:textId="32AA2593"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E6D14">
              <w:rPr>
                <w:rFonts w:ascii="Arial" w:eastAsia="Times New Roman" w:hAnsi="Arial" w:cs="Arial"/>
                <w:color w:val="000000" w:themeColor="text1"/>
                <w:sz w:val="18"/>
                <w:szCs w:val="18"/>
              </w:rPr>
              <w:t>$</w:t>
            </w:r>
            <w:r w:rsidR="009A2FFD">
              <w:rPr>
                <w:rFonts w:ascii="Arial" w:eastAsia="Times New Roman" w:hAnsi="Arial" w:cs="Arial"/>
                <w:color w:val="000000" w:themeColor="text1"/>
                <w:sz w:val="18"/>
                <w:szCs w:val="18"/>
              </w:rPr>
              <w:t>25.7</w:t>
            </w:r>
            <w:r w:rsidRPr="00EE6D14">
              <w:rPr>
                <w:rFonts w:ascii="Arial" w:eastAsia="Times New Roman" w:hAnsi="Arial" w:cs="Arial"/>
                <w:color w:val="000000" w:themeColor="text1"/>
                <w:sz w:val="18"/>
                <w:szCs w:val="18"/>
              </w:rPr>
              <w:t>M</w:t>
            </w:r>
          </w:p>
        </w:tc>
        <w:tc>
          <w:tcPr>
            <w:tcW w:w="1485" w:type="dxa"/>
          </w:tcPr>
          <w:p w14:paraId="1F9509CD" w14:textId="4A56C754"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5331F">
              <w:rPr>
                <w:rFonts w:ascii="Arial" w:hAnsi="Arial" w:cs="Arial"/>
                <w:color w:val="000000"/>
                <w:sz w:val="18"/>
                <w:szCs w:val="18"/>
              </w:rPr>
              <w:t>+</w:t>
            </w:r>
            <w:r w:rsidR="009A2FFD">
              <w:rPr>
                <w:rFonts w:ascii="Arial" w:hAnsi="Arial" w:cs="Arial"/>
                <w:color w:val="000000"/>
                <w:sz w:val="18"/>
                <w:szCs w:val="18"/>
              </w:rPr>
              <w:t>5.5</w:t>
            </w:r>
            <w:r w:rsidRPr="0055331F">
              <w:rPr>
                <w:rFonts w:ascii="Arial" w:hAnsi="Arial" w:cs="Arial"/>
                <w:color w:val="000000"/>
                <w:sz w:val="18"/>
                <w:szCs w:val="18"/>
              </w:rPr>
              <w:t>%</w:t>
            </w:r>
          </w:p>
        </w:tc>
        <w:tc>
          <w:tcPr>
            <w:tcW w:w="1485" w:type="dxa"/>
            <w:gridSpan w:val="2"/>
            <w:tcBorders>
              <w:right w:val="single" w:sz="4" w:space="0" w:color="auto"/>
            </w:tcBorders>
          </w:tcPr>
          <w:p w14:paraId="33A5D3B7" w14:textId="2A175C13" w:rsidR="00F616DF" w:rsidRPr="009F1B44" w:rsidRDefault="009A2FFD"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-0.6</w:t>
            </w:r>
            <w:r w:rsidR="00F616DF" w:rsidRPr="0055331F">
              <w:rPr>
                <w:rFonts w:ascii="Arial" w:hAnsi="Arial" w:cs="Arial"/>
                <w:color w:val="000000"/>
                <w:sz w:val="18"/>
                <w:szCs w:val="18"/>
              </w:rPr>
              <w:t>%</w:t>
            </w:r>
          </w:p>
        </w:tc>
        <w:tc>
          <w:tcPr>
            <w:tcW w:w="1485" w:type="dxa"/>
            <w:tcBorders>
              <w:left w:val="single" w:sz="4" w:space="0" w:color="auto"/>
            </w:tcBorders>
          </w:tcPr>
          <w:p w14:paraId="7BB7EFF0" w14:textId="62FCA1D7"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6A4F">
              <w:rPr>
                <w:rFonts w:ascii="Arial" w:eastAsia="Times New Roman" w:hAnsi="Arial" w:cs="Arial"/>
                <w:color w:val="000000" w:themeColor="text1"/>
                <w:sz w:val="18"/>
                <w:szCs w:val="18"/>
              </w:rPr>
              <w:t>$</w:t>
            </w:r>
            <w:r w:rsidR="00F53772">
              <w:rPr>
                <w:rFonts w:ascii="Arial" w:eastAsia="Times New Roman" w:hAnsi="Arial" w:cs="Arial"/>
                <w:color w:val="000000" w:themeColor="text1"/>
                <w:sz w:val="18"/>
                <w:szCs w:val="18"/>
              </w:rPr>
              <w:t>300.3</w:t>
            </w:r>
            <w:r w:rsidRPr="008B6A4F">
              <w:rPr>
                <w:rFonts w:ascii="Arial" w:eastAsia="Times New Roman" w:hAnsi="Arial" w:cs="Arial"/>
                <w:color w:val="000000" w:themeColor="text1"/>
                <w:sz w:val="18"/>
                <w:szCs w:val="18"/>
              </w:rPr>
              <w:t>M</w:t>
            </w:r>
          </w:p>
        </w:tc>
        <w:tc>
          <w:tcPr>
            <w:tcW w:w="1485" w:type="dxa"/>
          </w:tcPr>
          <w:p w14:paraId="5A7CCFEF" w14:textId="365A8CA2"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E7418">
              <w:rPr>
                <w:rFonts w:ascii="Arial" w:hAnsi="Arial" w:cs="Arial"/>
                <w:color w:val="000000"/>
                <w:sz w:val="18"/>
                <w:szCs w:val="18"/>
              </w:rPr>
              <w:t>+</w:t>
            </w:r>
            <w:r w:rsidR="00F53772">
              <w:rPr>
                <w:rFonts w:ascii="Arial" w:hAnsi="Arial" w:cs="Arial"/>
                <w:color w:val="000000"/>
                <w:sz w:val="18"/>
                <w:szCs w:val="18"/>
              </w:rPr>
              <w:t>12.3</w:t>
            </w:r>
            <w:r w:rsidRPr="002E7418">
              <w:rPr>
                <w:rFonts w:ascii="Arial" w:hAnsi="Arial" w:cs="Arial"/>
                <w:color w:val="000000"/>
                <w:sz w:val="18"/>
                <w:szCs w:val="18"/>
              </w:rPr>
              <w:t>%</w:t>
            </w:r>
          </w:p>
        </w:tc>
        <w:tc>
          <w:tcPr>
            <w:tcW w:w="1395" w:type="dxa"/>
          </w:tcPr>
          <w:p w14:paraId="0141E682" w14:textId="613A8347"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E7418">
              <w:rPr>
                <w:rFonts w:ascii="Arial" w:hAnsi="Arial" w:cs="Arial"/>
                <w:color w:val="000000"/>
                <w:sz w:val="18"/>
                <w:szCs w:val="18"/>
              </w:rPr>
              <w:t>+</w:t>
            </w:r>
            <w:r w:rsidR="00F53772">
              <w:rPr>
                <w:rFonts w:ascii="Arial" w:hAnsi="Arial" w:cs="Arial"/>
                <w:color w:val="000000"/>
                <w:sz w:val="18"/>
                <w:szCs w:val="18"/>
              </w:rPr>
              <w:t>11.9</w:t>
            </w:r>
            <w:r w:rsidRPr="002E7418">
              <w:rPr>
                <w:rFonts w:ascii="Arial" w:hAnsi="Arial" w:cs="Arial"/>
                <w:color w:val="000000"/>
                <w:sz w:val="18"/>
                <w:szCs w:val="18"/>
              </w:rPr>
              <w:t>%</w:t>
            </w:r>
          </w:p>
        </w:tc>
      </w:tr>
      <w:tr w:rsidR="009A2FFD" w:rsidRPr="00F15260" w14:paraId="4FD2DA5D" w14:textId="77777777" w:rsidTr="003627D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27E3B88B" w14:textId="77777777" w:rsidR="009A2FFD" w:rsidRPr="009F1B44" w:rsidRDefault="009A2FFD" w:rsidP="003627D5">
            <w:pPr>
              <w:pStyle w:val="NoSpacing"/>
              <w:rPr>
                <w:rFonts w:ascii="Arial" w:eastAsia="Times New Roman" w:hAnsi="Arial" w:cs="Arial"/>
                <w:b w:val="0"/>
                <w:bCs w:val="0"/>
                <w:color w:val="000000" w:themeColor="text1"/>
                <w:sz w:val="18"/>
                <w:szCs w:val="18"/>
              </w:rPr>
            </w:pPr>
            <w:r w:rsidRPr="009F1B44">
              <w:rPr>
                <w:rFonts w:ascii="Arial" w:eastAsia="Times New Roman" w:hAnsi="Arial" w:cs="Arial"/>
                <w:b w:val="0"/>
                <w:bCs w:val="0"/>
                <w:color w:val="000000" w:themeColor="text1"/>
                <w:sz w:val="18"/>
                <w:szCs w:val="18"/>
              </w:rPr>
              <w:t>Trout</w:t>
            </w:r>
          </w:p>
        </w:tc>
        <w:tc>
          <w:tcPr>
            <w:tcW w:w="1305" w:type="dxa"/>
          </w:tcPr>
          <w:p w14:paraId="662B70FB" w14:textId="77777777" w:rsidR="009A2FFD" w:rsidRPr="009F1B44" w:rsidRDefault="009A2FFD" w:rsidP="003627D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EE6D14">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21.9</w:t>
            </w:r>
            <w:r w:rsidRPr="00EE6D14">
              <w:rPr>
                <w:rFonts w:ascii="Arial" w:eastAsia="Times New Roman" w:hAnsi="Arial" w:cs="Arial"/>
                <w:color w:val="000000" w:themeColor="text1"/>
                <w:sz w:val="18"/>
                <w:szCs w:val="18"/>
              </w:rPr>
              <w:t>M</w:t>
            </w:r>
          </w:p>
        </w:tc>
        <w:tc>
          <w:tcPr>
            <w:tcW w:w="1485" w:type="dxa"/>
          </w:tcPr>
          <w:p w14:paraId="2B9A27C6" w14:textId="77777777" w:rsidR="009A2FFD" w:rsidRPr="009F1B44" w:rsidRDefault="009A2FFD" w:rsidP="003627D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C5952">
              <w:rPr>
                <w:rFonts w:ascii="Arial" w:hAnsi="Arial" w:cs="Arial"/>
                <w:color w:val="000000"/>
                <w:sz w:val="18"/>
                <w:szCs w:val="18"/>
              </w:rPr>
              <w:t>+</w:t>
            </w:r>
            <w:r>
              <w:rPr>
                <w:rFonts w:ascii="Arial" w:hAnsi="Arial" w:cs="Arial"/>
                <w:color w:val="000000"/>
                <w:sz w:val="18"/>
                <w:szCs w:val="18"/>
              </w:rPr>
              <w:t>7.4</w:t>
            </w:r>
            <w:r w:rsidRPr="009C5952">
              <w:rPr>
                <w:rFonts w:ascii="Arial" w:hAnsi="Arial" w:cs="Arial"/>
                <w:color w:val="000000"/>
                <w:sz w:val="18"/>
                <w:szCs w:val="18"/>
              </w:rPr>
              <w:t>%</w:t>
            </w:r>
          </w:p>
        </w:tc>
        <w:tc>
          <w:tcPr>
            <w:tcW w:w="1485" w:type="dxa"/>
            <w:gridSpan w:val="2"/>
            <w:tcBorders>
              <w:right w:val="single" w:sz="4" w:space="0" w:color="auto"/>
            </w:tcBorders>
          </w:tcPr>
          <w:p w14:paraId="53F4A18F" w14:textId="77777777" w:rsidR="009A2FFD" w:rsidRPr="009F1B44" w:rsidRDefault="009A2FFD" w:rsidP="003627D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C5952">
              <w:rPr>
                <w:rFonts w:ascii="Arial" w:hAnsi="Arial" w:cs="Arial"/>
                <w:color w:val="000000"/>
                <w:sz w:val="18"/>
                <w:szCs w:val="18"/>
              </w:rPr>
              <w:t>+</w:t>
            </w:r>
            <w:r>
              <w:rPr>
                <w:rFonts w:ascii="Arial" w:hAnsi="Arial" w:cs="Arial"/>
                <w:color w:val="000000"/>
                <w:sz w:val="18"/>
                <w:szCs w:val="18"/>
              </w:rPr>
              <w:t>4.6</w:t>
            </w:r>
            <w:r w:rsidRPr="009C5952">
              <w:rPr>
                <w:rFonts w:ascii="Arial" w:hAnsi="Arial" w:cs="Arial"/>
                <w:color w:val="000000"/>
                <w:sz w:val="18"/>
                <w:szCs w:val="18"/>
              </w:rPr>
              <w:t>%</w:t>
            </w:r>
          </w:p>
        </w:tc>
        <w:tc>
          <w:tcPr>
            <w:tcW w:w="1485" w:type="dxa"/>
            <w:tcBorders>
              <w:left w:val="single" w:sz="4" w:space="0" w:color="auto"/>
            </w:tcBorders>
          </w:tcPr>
          <w:p w14:paraId="6AE6C17D" w14:textId="4B3C49BA" w:rsidR="009A2FFD" w:rsidRPr="009F1B44" w:rsidRDefault="009A2FFD" w:rsidP="003627D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B6A4F">
              <w:rPr>
                <w:rFonts w:ascii="Arial" w:eastAsia="Times New Roman" w:hAnsi="Arial" w:cs="Arial"/>
                <w:color w:val="000000" w:themeColor="text1"/>
                <w:sz w:val="18"/>
                <w:szCs w:val="18"/>
              </w:rPr>
              <w:t>$</w:t>
            </w:r>
            <w:r w:rsidR="00F53772">
              <w:rPr>
                <w:rFonts w:ascii="Arial" w:eastAsia="Times New Roman" w:hAnsi="Arial" w:cs="Arial"/>
                <w:color w:val="000000" w:themeColor="text1"/>
                <w:sz w:val="18"/>
                <w:szCs w:val="18"/>
              </w:rPr>
              <w:t>268.1</w:t>
            </w:r>
            <w:r w:rsidRPr="008B6A4F">
              <w:rPr>
                <w:rFonts w:ascii="Arial" w:eastAsia="Times New Roman" w:hAnsi="Arial" w:cs="Arial"/>
                <w:color w:val="000000" w:themeColor="text1"/>
                <w:sz w:val="18"/>
                <w:szCs w:val="18"/>
              </w:rPr>
              <w:t>M</w:t>
            </w:r>
          </w:p>
        </w:tc>
        <w:tc>
          <w:tcPr>
            <w:tcW w:w="1485" w:type="dxa"/>
          </w:tcPr>
          <w:p w14:paraId="3199D0BF" w14:textId="16C24093" w:rsidR="009A2FFD" w:rsidRPr="009F1B44" w:rsidRDefault="009A2FFD" w:rsidP="003627D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713B3">
              <w:rPr>
                <w:rFonts w:ascii="Arial" w:hAnsi="Arial" w:cs="Arial"/>
                <w:color w:val="000000"/>
                <w:sz w:val="18"/>
                <w:szCs w:val="18"/>
              </w:rPr>
              <w:t>+</w:t>
            </w:r>
            <w:r w:rsidR="00F53772">
              <w:rPr>
                <w:rFonts w:ascii="Arial" w:hAnsi="Arial" w:cs="Arial"/>
                <w:color w:val="000000"/>
                <w:sz w:val="18"/>
                <w:szCs w:val="18"/>
              </w:rPr>
              <w:t>18.3</w:t>
            </w:r>
            <w:r w:rsidRPr="00B713B3">
              <w:rPr>
                <w:rFonts w:ascii="Arial" w:hAnsi="Arial" w:cs="Arial"/>
                <w:color w:val="000000"/>
                <w:sz w:val="18"/>
                <w:szCs w:val="18"/>
              </w:rPr>
              <w:t>%</w:t>
            </w:r>
          </w:p>
        </w:tc>
        <w:tc>
          <w:tcPr>
            <w:tcW w:w="1395" w:type="dxa"/>
          </w:tcPr>
          <w:p w14:paraId="74E9FE6F" w14:textId="417BFFF3" w:rsidR="009A2FFD" w:rsidRPr="009F1B44" w:rsidRDefault="009A2FFD" w:rsidP="003627D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713B3">
              <w:rPr>
                <w:rFonts w:ascii="Arial" w:hAnsi="Arial" w:cs="Arial"/>
                <w:color w:val="000000"/>
                <w:sz w:val="18"/>
                <w:szCs w:val="18"/>
              </w:rPr>
              <w:t>+</w:t>
            </w:r>
            <w:r w:rsidR="00F53772">
              <w:rPr>
                <w:rFonts w:ascii="Arial" w:hAnsi="Arial" w:cs="Arial"/>
                <w:color w:val="000000"/>
                <w:sz w:val="18"/>
                <w:szCs w:val="18"/>
              </w:rPr>
              <w:t>19.1</w:t>
            </w:r>
            <w:r w:rsidRPr="00B713B3">
              <w:rPr>
                <w:rFonts w:ascii="Arial" w:hAnsi="Arial" w:cs="Arial"/>
                <w:color w:val="000000"/>
                <w:sz w:val="18"/>
                <w:szCs w:val="18"/>
              </w:rPr>
              <w:t>%</w:t>
            </w:r>
          </w:p>
        </w:tc>
      </w:tr>
      <w:tr w:rsidR="00F616DF" w:rsidRPr="00F15260" w14:paraId="5C0D45C1" w14:textId="77777777" w:rsidTr="0037656E">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7B7CE872" w14:textId="77777777" w:rsidR="00F616DF" w:rsidRPr="009F1B44" w:rsidRDefault="00F616DF" w:rsidP="00F616DF">
            <w:pPr>
              <w:pStyle w:val="NoSpacing"/>
              <w:rPr>
                <w:rFonts w:ascii="Arial" w:eastAsia="Times New Roman" w:hAnsi="Arial" w:cs="Arial"/>
                <w:b w:val="0"/>
                <w:bCs w:val="0"/>
                <w:color w:val="000000" w:themeColor="text1"/>
                <w:sz w:val="18"/>
                <w:szCs w:val="18"/>
              </w:rPr>
            </w:pPr>
            <w:r w:rsidRPr="009F1B44">
              <w:rPr>
                <w:rFonts w:ascii="Arial" w:eastAsia="Times New Roman" w:hAnsi="Arial" w:cs="Arial"/>
                <w:b w:val="0"/>
                <w:bCs w:val="0"/>
                <w:color w:val="000000" w:themeColor="text1"/>
                <w:sz w:val="18"/>
                <w:szCs w:val="18"/>
              </w:rPr>
              <w:t>Cod</w:t>
            </w:r>
          </w:p>
        </w:tc>
        <w:tc>
          <w:tcPr>
            <w:tcW w:w="1305" w:type="dxa"/>
          </w:tcPr>
          <w:p w14:paraId="01EE6351" w14:textId="5DD0AA7D"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E6D14">
              <w:rPr>
                <w:rFonts w:ascii="Arial" w:eastAsia="Times New Roman" w:hAnsi="Arial" w:cs="Arial"/>
                <w:color w:val="000000" w:themeColor="text1"/>
                <w:sz w:val="18"/>
                <w:szCs w:val="18"/>
              </w:rPr>
              <w:t>$</w:t>
            </w:r>
            <w:r w:rsidR="009A2FFD">
              <w:rPr>
                <w:rFonts w:ascii="Arial" w:eastAsia="Times New Roman" w:hAnsi="Arial" w:cs="Arial"/>
                <w:color w:val="000000" w:themeColor="text1"/>
                <w:sz w:val="18"/>
                <w:szCs w:val="18"/>
              </w:rPr>
              <w:t>21.5</w:t>
            </w:r>
            <w:r w:rsidRPr="00EE6D14">
              <w:rPr>
                <w:rFonts w:ascii="Arial" w:eastAsia="Times New Roman" w:hAnsi="Arial" w:cs="Arial"/>
                <w:color w:val="000000" w:themeColor="text1"/>
                <w:sz w:val="18"/>
                <w:szCs w:val="18"/>
              </w:rPr>
              <w:t>M</w:t>
            </w:r>
          </w:p>
        </w:tc>
        <w:tc>
          <w:tcPr>
            <w:tcW w:w="1485" w:type="dxa"/>
          </w:tcPr>
          <w:p w14:paraId="3164BE51" w14:textId="16B16FCF"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A4E59">
              <w:rPr>
                <w:rFonts w:ascii="Arial" w:hAnsi="Arial" w:cs="Arial"/>
                <w:color w:val="000000"/>
                <w:sz w:val="18"/>
                <w:szCs w:val="18"/>
              </w:rPr>
              <w:t>-</w:t>
            </w:r>
            <w:r w:rsidR="009A2FFD">
              <w:rPr>
                <w:rFonts w:ascii="Arial" w:hAnsi="Arial" w:cs="Arial"/>
                <w:color w:val="000000"/>
                <w:sz w:val="18"/>
                <w:szCs w:val="18"/>
              </w:rPr>
              <w:t>7.1</w:t>
            </w:r>
            <w:r w:rsidRPr="00BA4E59">
              <w:rPr>
                <w:rFonts w:ascii="Arial" w:hAnsi="Arial" w:cs="Arial"/>
                <w:color w:val="000000"/>
                <w:sz w:val="18"/>
                <w:szCs w:val="18"/>
              </w:rPr>
              <w:t>%</w:t>
            </w:r>
          </w:p>
        </w:tc>
        <w:tc>
          <w:tcPr>
            <w:tcW w:w="1485" w:type="dxa"/>
            <w:gridSpan w:val="2"/>
            <w:tcBorders>
              <w:right w:val="single" w:sz="4" w:space="0" w:color="auto"/>
            </w:tcBorders>
          </w:tcPr>
          <w:p w14:paraId="00E6037F" w14:textId="21FEF581"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A4E59">
              <w:rPr>
                <w:rFonts w:ascii="Arial" w:hAnsi="Arial" w:cs="Arial"/>
                <w:color w:val="000000"/>
                <w:sz w:val="18"/>
                <w:szCs w:val="18"/>
              </w:rPr>
              <w:t>-</w:t>
            </w:r>
            <w:r w:rsidR="009A2FFD">
              <w:rPr>
                <w:rFonts w:ascii="Arial" w:hAnsi="Arial" w:cs="Arial"/>
                <w:color w:val="000000"/>
                <w:sz w:val="18"/>
                <w:szCs w:val="18"/>
              </w:rPr>
              <w:t>17.8</w:t>
            </w:r>
            <w:r w:rsidRPr="00BA4E59">
              <w:rPr>
                <w:rFonts w:ascii="Arial" w:hAnsi="Arial" w:cs="Arial"/>
                <w:color w:val="000000"/>
                <w:sz w:val="18"/>
                <w:szCs w:val="18"/>
              </w:rPr>
              <w:t>%</w:t>
            </w:r>
          </w:p>
        </w:tc>
        <w:tc>
          <w:tcPr>
            <w:tcW w:w="1485" w:type="dxa"/>
            <w:tcBorders>
              <w:left w:val="single" w:sz="4" w:space="0" w:color="auto"/>
            </w:tcBorders>
          </w:tcPr>
          <w:p w14:paraId="1320CFFE" w14:textId="0BD42B30"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6A4F">
              <w:rPr>
                <w:rFonts w:ascii="Arial" w:eastAsia="Times New Roman" w:hAnsi="Arial" w:cs="Arial"/>
                <w:color w:val="000000" w:themeColor="text1"/>
                <w:sz w:val="18"/>
                <w:szCs w:val="18"/>
              </w:rPr>
              <w:t>$</w:t>
            </w:r>
            <w:r w:rsidR="00F53772">
              <w:rPr>
                <w:rFonts w:ascii="Arial" w:eastAsia="Times New Roman" w:hAnsi="Arial" w:cs="Arial"/>
                <w:color w:val="000000" w:themeColor="text1"/>
                <w:sz w:val="18"/>
                <w:szCs w:val="18"/>
              </w:rPr>
              <w:t>260.6</w:t>
            </w:r>
            <w:r w:rsidRPr="008B6A4F">
              <w:rPr>
                <w:rFonts w:ascii="Arial" w:eastAsia="Times New Roman" w:hAnsi="Arial" w:cs="Arial"/>
                <w:color w:val="000000" w:themeColor="text1"/>
                <w:sz w:val="18"/>
                <w:szCs w:val="18"/>
              </w:rPr>
              <w:t>M</w:t>
            </w:r>
          </w:p>
        </w:tc>
        <w:tc>
          <w:tcPr>
            <w:tcW w:w="1485" w:type="dxa"/>
          </w:tcPr>
          <w:p w14:paraId="6CD8073B" w14:textId="07A30DA6" w:rsidR="00F616DF" w:rsidRPr="009F1B44" w:rsidRDefault="00F53772"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-0.5</w:t>
            </w:r>
            <w:r w:rsidR="00F616DF" w:rsidRPr="002E7418">
              <w:rPr>
                <w:rFonts w:ascii="Arial" w:hAnsi="Arial" w:cs="Arial"/>
                <w:color w:val="000000"/>
                <w:sz w:val="18"/>
                <w:szCs w:val="18"/>
              </w:rPr>
              <w:t>%</w:t>
            </w:r>
          </w:p>
        </w:tc>
        <w:tc>
          <w:tcPr>
            <w:tcW w:w="1395" w:type="dxa"/>
          </w:tcPr>
          <w:p w14:paraId="369A6479" w14:textId="56F561BB" w:rsidR="00F616DF" w:rsidRPr="009F1B44" w:rsidRDefault="00F53772"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-10.0</w:t>
            </w:r>
            <w:r w:rsidR="00F616DF" w:rsidRPr="002E7418">
              <w:rPr>
                <w:rFonts w:ascii="Arial" w:hAnsi="Arial" w:cs="Arial"/>
                <w:color w:val="000000"/>
                <w:sz w:val="18"/>
                <w:szCs w:val="18"/>
              </w:rPr>
              <w:t>%</w:t>
            </w:r>
          </w:p>
        </w:tc>
      </w:tr>
      <w:tr w:rsidR="00F616DF" w:rsidRPr="00F15260" w14:paraId="27E0DBE7" w14:textId="77777777" w:rsidTr="004E20D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1F0534E" w14:textId="77777777" w:rsidR="00F616DF" w:rsidRPr="009F1B44" w:rsidRDefault="00F616DF" w:rsidP="00F616DF">
            <w:pPr>
              <w:pStyle w:val="NoSpacing"/>
              <w:rPr>
                <w:rFonts w:ascii="Arial" w:eastAsia="Times New Roman" w:hAnsi="Arial" w:cs="Arial"/>
                <w:b w:val="0"/>
                <w:bCs w:val="0"/>
                <w:color w:val="000000" w:themeColor="text1"/>
                <w:sz w:val="18"/>
                <w:szCs w:val="18"/>
              </w:rPr>
            </w:pPr>
            <w:r w:rsidRPr="009F1B44">
              <w:rPr>
                <w:rFonts w:ascii="Arial" w:eastAsia="Times New Roman" w:hAnsi="Arial" w:cs="Arial"/>
                <w:b w:val="0"/>
                <w:bCs w:val="0"/>
                <w:color w:val="000000" w:themeColor="text1"/>
                <w:sz w:val="18"/>
                <w:szCs w:val="18"/>
              </w:rPr>
              <w:t>Lobster</w:t>
            </w:r>
          </w:p>
        </w:tc>
        <w:tc>
          <w:tcPr>
            <w:tcW w:w="1305" w:type="dxa"/>
          </w:tcPr>
          <w:p w14:paraId="7BB8827E" w14:textId="69EB3AFF"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E6D14">
              <w:rPr>
                <w:rFonts w:ascii="Arial" w:eastAsia="Times New Roman" w:hAnsi="Arial" w:cs="Arial"/>
                <w:color w:val="000000" w:themeColor="text1"/>
                <w:sz w:val="18"/>
                <w:szCs w:val="18"/>
              </w:rPr>
              <w:t>$</w:t>
            </w:r>
            <w:r w:rsidR="009A2FFD">
              <w:rPr>
                <w:rFonts w:ascii="Arial" w:eastAsia="Times New Roman" w:hAnsi="Arial" w:cs="Arial"/>
                <w:color w:val="000000" w:themeColor="text1"/>
                <w:sz w:val="18"/>
                <w:szCs w:val="18"/>
              </w:rPr>
              <w:t>21.1</w:t>
            </w:r>
            <w:r w:rsidRPr="00EE6D14">
              <w:rPr>
                <w:rFonts w:ascii="Arial" w:eastAsia="Times New Roman" w:hAnsi="Arial" w:cs="Arial"/>
                <w:color w:val="000000" w:themeColor="text1"/>
                <w:sz w:val="18"/>
                <w:szCs w:val="18"/>
              </w:rPr>
              <w:t>M</w:t>
            </w:r>
          </w:p>
        </w:tc>
        <w:tc>
          <w:tcPr>
            <w:tcW w:w="1485" w:type="dxa"/>
          </w:tcPr>
          <w:p w14:paraId="70730D97" w14:textId="00B8D13C"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C5952">
              <w:rPr>
                <w:rFonts w:ascii="Arial" w:hAnsi="Arial" w:cs="Arial"/>
                <w:color w:val="000000"/>
                <w:sz w:val="18"/>
                <w:szCs w:val="18"/>
              </w:rPr>
              <w:t>+</w:t>
            </w:r>
            <w:r w:rsidR="009A2FFD">
              <w:rPr>
                <w:rFonts w:ascii="Arial" w:hAnsi="Arial" w:cs="Arial"/>
                <w:color w:val="000000"/>
                <w:sz w:val="18"/>
                <w:szCs w:val="18"/>
              </w:rPr>
              <w:t>3.9</w:t>
            </w:r>
            <w:r w:rsidRPr="009C5952">
              <w:rPr>
                <w:rFonts w:ascii="Arial" w:hAnsi="Arial" w:cs="Arial"/>
                <w:color w:val="000000"/>
                <w:sz w:val="18"/>
                <w:szCs w:val="18"/>
              </w:rPr>
              <w:t>%</w:t>
            </w:r>
          </w:p>
        </w:tc>
        <w:tc>
          <w:tcPr>
            <w:tcW w:w="1485" w:type="dxa"/>
            <w:gridSpan w:val="2"/>
            <w:tcBorders>
              <w:right w:val="single" w:sz="4" w:space="0" w:color="auto"/>
            </w:tcBorders>
          </w:tcPr>
          <w:p w14:paraId="08DD4754" w14:textId="0C3D83CF"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C5952">
              <w:rPr>
                <w:rFonts w:ascii="Arial" w:hAnsi="Arial" w:cs="Arial"/>
                <w:color w:val="000000"/>
                <w:sz w:val="18"/>
                <w:szCs w:val="18"/>
              </w:rPr>
              <w:t>+</w:t>
            </w:r>
            <w:r w:rsidR="009A2FFD">
              <w:rPr>
                <w:rFonts w:ascii="Arial" w:hAnsi="Arial" w:cs="Arial"/>
                <w:color w:val="000000"/>
                <w:sz w:val="18"/>
                <w:szCs w:val="18"/>
              </w:rPr>
              <w:t>24.3</w:t>
            </w:r>
            <w:r w:rsidRPr="009C5952">
              <w:rPr>
                <w:rFonts w:ascii="Arial" w:hAnsi="Arial" w:cs="Arial"/>
                <w:color w:val="000000"/>
                <w:sz w:val="18"/>
                <w:szCs w:val="18"/>
              </w:rPr>
              <w:t>%</w:t>
            </w:r>
          </w:p>
        </w:tc>
        <w:tc>
          <w:tcPr>
            <w:tcW w:w="1485" w:type="dxa"/>
            <w:tcBorders>
              <w:left w:val="single" w:sz="4" w:space="0" w:color="auto"/>
            </w:tcBorders>
          </w:tcPr>
          <w:p w14:paraId="2C062387" w14:textId="2121572D"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B6A4F">
              <w:rPr>
                <w:rFonts w:ascii="Arial" w:eastAsia="Times New Roman" w:hAnsi="Arial" w:cs="Arial"/>
                <w:color w:val="000000" w:themeColor="text1"/>
                <w:sz w:val="18"/>
                <w:szCs w:val="18"/>
              </w:rPr>
              <w:t>$</w:t>
            </w:r>
            <w:r w:rsidR="00F53772">
              <w:rPr>
                <w:rFonts w:ascii="Arial" w:eastAsia="Times New Roman" w:hAnsi="Arial" w:cs="Arial"/>
                <w:color w:val="000000" w:themeColor="text1"/>
                <w:sz w:val="18"/>
                <w:szCs w:val="18"/>
              </w:rPr>
              <w:t>401.7</w:t>
            </w:r>
            <w:r w:rsidRPr="008B6A4F">
              <w:rPr>
                <w:rFonts w:ascii="Arial" w:eastAsia="Times New Roman" w:hAnsi="Arial" w:cs="Arial"/>
                <w:color w:val="000000" w:themeColor="text1"/>
                <w:sz w:val="18"/>
                <w:szCs w:val="18"/>
              </w:rPr>
              <w:t>M</w:t>
            </w:r>
          </w:p>
        </w:tc>
        <w:tc>
          <w:tcPr>
            <w:tcW w:w="1485" w:type="dxa"/>
          </w:tcPr>
          <w:p w14:paraId="028DCCDC" w14:textId="3963FA6D"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713B3">
              <w:rPr>
                <w:rFonts w:ascii="Arial" w:hAnsi="Arial" w:cs="Arial"/>
                <w:color w:val="000000"/>
                <w:sz w:val="18"/>
                <w:szCs w:val="18"/>
              </w:rPr>
              <w:t>+</w:t>
            </w:r>
            <w:r w:rsidR="00F53772">
              <w:rPr>
                <w:rFonts w:ascii="Arial" w:hAnsi="Arial" w:cs="Arial"/>
                <w:color w:val="000000"/>
                <w:sz w:val="18"/>
                <w:szCs w:val="18"/>
              </w:rPr>
              <w:t>3.7</w:t>
            </w:r>
            <w:r w:rsidRPr="00B713B3">
              <w:rPr>
                <w:rFonts w:ascii="Arial" w:hAnsi="Arial" w:cs="Arial"/>
                <w:color w:val="000000"/>
                <w:sz w:val="18"/>
                <w:szCs w:val="18"/>
              </w:rPr>
              <w:t>%</w:t>
            </w:r>
          </w:p>
        </w:tc>
        <w:tc>
          <w:tcPr>
            <w:tcW w:w="1395" w:type="dxa"/>
          </w:tcPr>
          <w:p w14:paraId="14F8CD18" w14:textId="2182DF29" w:rsidR="00F616DF" w:rsidRPr="009F1B44"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713B3">
              <w:rPr>
                <w:rFonts w:ascii="Arial" w:hAnsi="Arial" w:cs="Arial"/>
                <w:color w:val="000000"/>
                <w:sz w:val="18"/>
                <w:szCs w:val="18"/>
              </w:rPr>
              <w:t>+</w:t>
            </w:r>
            <w:r w:rsidR="00F53772">
              <w:rPr>
                <w:rFonts w:ascii="Arial" w:hAnsi="Arial" w:cs="Arial"/>
                <w:color w:val="000000"/>
                <w:sz w:val="18"/>
                <w:szCs w:val="18"/>
              </w:rPr>
              <w:t>12.6</w:t>
            </w:r>
            <w:r w:rsidRPr="00B713B3">
              <w:rPr>
                <w:rFonts w:ascii="Arial" w:hAnsi="Arial" w:cs="Arial"/>
                <w:color w:val="000000"/>
                <w:sz w:val="18"/>
                <w:szCs w:val="18"/>
              </w:rPr>
              <w:t>%</w:t>
            </w:r>
          </w:p>
        </w:tc>
      </w:tr>
      <w:tr w:rsidR="00F616DF" w:rsidRPr="00F15260" w14:paraId="653995BC" w14:textId="77777777" w:rsidTr="003A64A3">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15832D35" w:rsidR="00F616DF" w:rsidRPr="009F1B44" w:rsidRDefault="00F616DF" w:rsidP="00F616DF">
            <w:pPr>
              <w:pStyle w:val="NoSpacing"/>
              <w:rPr>
                <w:rFonts w:ascii="Arial" w:eastAsia="Times New Roman" w:hAnsi="Arial" w:cs="Arial"/>
                <w:b w:val="0"/>
                <w:bCs w:val="0"/>
                <w:color w:val="000000" w:themeColor="text1"/>
                <w:sz w:val="18"/>
                <w:szCs w:val="18"/>
              </w:rPr>
            </w:pPr>
            <w:r w:rsidRPr="009F1B44">
              <w:rPr>
                <w:rFonts w:ascii="Arial" w:eastAsia="Times New Roman" w:hAnsi="Arial" w:cs="Arial"/>
                <w:b w:val="0"/>
                <w:bCs w:val="0"/>
                <w:color w:val="000000" w:themeColor="text1"/>
                <w:sz w:val="18"/>
                <w:szCs w:val="18"/>
              </w:rPr>
              <w:t>Catfish</w:t>
            </w:r>
          </w:p>
        </w:tc>
        <w:tc>
          <w:tcPr>
            <w:tcW w:w="1305" w:type="dxa"/>
          </w:tcPr>
          <w:p w14:paraId="6A9D6AFB" w14:textId="5551B8C7"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E6D14">
              <w:rPr>
                <w:rFonts w:ascii="Arial" w:eastAsia="Times New Roman" w:hAnsi="Arial" w:cs="Arial"/>
                <w:color w:val="000000" w:themeColor="text1"/>
                <w:sz w:val="18"/>
                <w:szCs w:val="18"/>
              </w:rPr>
              <w:t>$</w:t>
            </w:r>
            <w:r w:rsidR="009A2FFD">
              <w:rPr>
                <w:rFonts w:ascii="Arial" w:eastAsia="Times New Roman" w:hAnsi="Arial" w:cs="Arial"/>
                <w:color w:val="000000" w:themeColor="text1"/>
                <w:sz w:val="18"/>
                <w:szCs w:val="18"/>
              </w:rPr>
              <w:t>16.0</w:t>
            </w:r>
            <w:r w:rsidRPr="00EE6D14">
              <w:rPr>
                <w:rFonts w:ascii="Arial" w:eastAsia="Times New Roman" w:hAnsi="Arial" w:cs="Arial"/>
                <w:color w:val="000000" w:themeColor="text1"/>
                <w:sz w:val="18"/>
                <w:szCs w:val="18"/>
              </w:rPr>
              <w:t>M</w:t>
            </w:r>
          </w:p>
        </w:tc>
        <w:tc>
          <w:tcPr>
            <w:tcW w:w="1485" w:type="dxa"/>
          </w:tcPr>
          <w:p w14:paraId="341E205C" w14:textId="23CE2618"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E6AFC">
              <w:rPr>
                <w:rFonts w:ascii="Arial" w:hAnsi="Arial" w:cs="Arial"/>
                <w:color w:val="000000"/>
                <w:sz w:val="18"/>
                <w:szCs w:val="18"/>
              </w:rPr>
              <w:t>-</w:t>
            </w:r>
            <w:r w:rsidR="009A2FFD">
              <w:rPr>
                <w:rFonts w:ascii="Arial" w:hAnsi="Arial" w:cs="Arial"/>
                <w:color w:val="000000"/>
                <w:sz w:val="18"/>
                <w:szCs w:val="18"/>
              </w:rPr>
              <w:t>12.6</w:t>
            </w:r>
            <w:r w:rsidRPr="007E6AFC">
              <w:rPr>
                <w:rFonts w:ascii="Arial" w:hAnsi="Arial" w:cs="Arial"/>
                <w:color w:val="000000"/>
                <w:sz w:val="18"/>
                <w:szCs w:val="18"/>
              </w:rPr>
              <w:t>%</w:t>
            </w:r>
          </w:p>
        </w:tc>
        <w:tc>
          <w:tcPr>
            <w:tcW w:w="1485" w:type="dxa"/>
            <w:gridSpan w:val="2"/>
            <w:tcBorders>
              <w:right w:val="single" w:sz="4" w:space="0" w:color="auto"/>
            </w:tcBorders>
          </w:tcPr>
          <w:p w14:paraId="02CC48F6" w14:textId="39E4B71D"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E6AFC">
              <w:rPr>
                <w:rFonts w:ascii="Arial" w:hAnsi="Arial" w:cs="Arial"/>
                <w:color w:val="000000"/>
                <w:sz w:val="18"/>
                <w:szCs w:val="18"/>
              </w:rPr>
              <w:t>-</w:t>
            </w:r>
            <w:r w:rsidR="009A2FFD">
              <w:rPr>
                <w:rFonts w:ascii="Arial" w:hAnsi="Arial" w:cs="Arial"/>
                <w:color w:val="000000"/>
                <w:sz w:val="18"/>
                <w:szCs w:val="18"/>
              </w:rPr>
              <w:t>19.2</w:t>
            </w:r>
            <w:r w:rsidRPr="007E6AFC">
              <w:rPr>
                <w:rFonts w:ascii="Arial" w:hAnsi="Arial" w:cs="Arial"/>
                <w:color w:val="000000"/>
                <w:sz w:val="18"/>
                <w:szCs w:val="18"/>
              </w:rPr>
              <w:t>%</w:t>
            </w:r>
          </w:p>
        </w:tc>
        <w:tc>
          <w:tcPr>
            <w:tcW w:w="1485" w:type="dxa"/>
            <w:tcBorders>
              <w:left w:val="single" w:sz="4" w:space="0" w:color="auto"/>
            </w:tcBorders>
          </w:tcPr>
          <w:p w14:paraId="7217A92E" w14:textId="73ABBF61" w:rsidR="00F616DF" w:rsidRPr="009F1B44"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6A4F">
              <w:rPr>
                <w:rFonts w:ascii="Arial" w:eastAsia="Times New Roman" w:hAnsi="Arial" w:cs="Arial"/>
                <w:color w:val="000000" w:themeColor="text1"/>
                <w:sz w:val="18"/>
                <w:szCs w:val="18"/>
              </w:rPr>
              <w:t>$</w:t>
            </w:r>
            <w:r w:rsidR="00F53772">
              <w:rPr>
                <w:rFonts w:ascii="Arial" w:eastAsia="Times New Roman" w:hAnsi="Arial" w:cs="Arial"/>
                <w:color w:val="000000" w:themeColor="text1"/>
                <w:sz w:val="18"/>
                <w:szCs w:val="18"/>
              </w:rPr>
              <w:t>260.6</w:t>
            </w:r>
            <w:r w:rsidRPr="008B6A4F">
              <w:rPr>
                <w:rFonts w:ascii="Arial" w:eastAsia="Times New Roman" w:hAnsi="Arial" w:cs="Arial"/>
                <w:color w:val="000000" w:themeColor="text1"/>
                <w:sz w:val="18"/>
                <w:szCs w:val="18"/>
              </w:rPr>
              <w:t>M</w:t>
            </w:r>
          </w:p>
        </w:tc>
        <w:tc>
          <w:tcPr>
            <w:tcW w:w="1485" w:type="dxa"/>
          </w:tcPr>
          <w:p w14:paraId="10C2432D" w14:textId="61801D0C" w:rsidR="00F616DF" w:rsidRPr="009F1B44" w:rsidRDefault="00F53772"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-0.5</w:t>
            </w:r>
            <w:r w:rsidR="00F616DF" w:rsidRPr="00B713B3">
              <w:rPr>
                <w:rFonts w:ascii="Arial" w:hAnsi="Arial" w:cs="Arial"/>
                <w:color w:val="000000"/>
                <w:sz w:val="18"/>
                <w:szCs w:val="18"/>
              </w:rPr>
              <w:t>%</w:t>
            </w:r>
          </w:p>
        </w:tc>
        <w:tc>
          <w:tcPr>
            <w:tcW w:w="1395" w:type="dxa"/>
          </w:tcPr>
          <w:p w14:paraId="0797CA53" w14:textId="62650414" w:rsidR="00F616DF" w:rsidRPr="009F1B44" w:rsidRDefault="00F53772"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-0.7</w:t>
            </w:r>
            <w:r w:rsidR="00F616DF" w:rsidRPr="00B713B3">
              <w:rPr>
                <w:rFonts w:ascii="Arial" w:hAnsi="Arial" w:cs="Arial"/>
                <w:color w:val="000000"/>
                <w:sz w:val="18"/>
                <w:szCs w:val="18"/>
              </w:rPr>
              <w:t>%</w:t>
            </w:r>
          </w:p>
        </w:tc>
      </w:tr>
    </w:tbl>
    <w:p w14:paraId="4974058F" w14:textId="77777777" w:rsidR="005966E5" w:rsidRDefault="005966E5" w:rsidP="00477CE6">
      <w:pPr>
        <w:pStyle w:val="NoSpacing"/>
        <w:rPr>
          <w:rFonts w:ascii="Arial" w:hAnsi="Arial" w:cs="Arial"/>
          <w:color w:val="7F7F7F" w:themeColor="text1" w:themeTint="80"/>
          <w:sz w:val="16"/>
          <w:szCs w:val="16"/>
        </w:rPr>
      </w:pPr>
    </w:p>
    <w:p w14:paraId="42B2E0FF" w14:textId="40D1BE08"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r w:rsidR="007A44BE" w:rsidRPr="000A6F81">
        <w:rPr>
          <w:rFonts w:ascii="Arial" w:hAnsi="Arial" w:cs="Arial"/>
          <w:color w:val="7F7F7F" w:themeColor="text1" w:themeTint="80"/>
          <w:sz w:val="16"/>
          <w:szCs w:val="16"/>
        </w:rPr>
        <w:t>Circana</w:t>
      </w:r>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866DBA2" w14:textId="69C966FD"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5B6B3DCA" w:rsidR="005A1DA4" w:rsidRDefault="002A6CBA"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 xml:space="preserve">Frozen food sales </w:t>
      </w:r>
      <w:r w:rsidR="007A14AA">
        <w:rPr>
          <w:rFonts w:ascii="Arial" w:hAnsi="Arial" w:cs="Arial"/>
          <w:color w:val="000000" w:themeColor="text1"/>
          <w:sz w:val="20"/>
          <w:szCs w:val="20"/>
        </w:rPr>
        <w:t xml:space="preserve">remained a bit soft in </w:t>
      </w:r>
      <w:r w:rsidR="003F4653">
        <w:rPr>
          <w:rFonts w:ascii="Arial" w:hAnsi="Arial" w:cs="Arial"/>
          <w:color w:val="000000" w:themeColor="text1"/>
          <w:sz w:val="20"/>
          <w:szCs w:val="20"/>
        </w:rPr>
        <w:t>April</w:t>
      </w:r>
      <w:r w:rsidR="002C7B87">
        <w:rPr>
          <w:rFonts w:ascii="Arial" w:hAnsi="Arial" w:cs="Arial"/>
          <w:color w:val="000000" w:themeColor="text1"/>
          <w:sz w:val="20"/>
          <w:szCs w:val="20"/>
        </w:rPr>
        <w:t xml:space="preserve">. Dollar sales rose by </w:t>
      </w:r>
      <w:r w:rsidR="005966E5">
        <w:rPr>
          <w:rFonts w:ascii="Arial" w:hAnsi="Arial" w:cs="Arial"/>
          <w:color w:val="000000" w:themeColor="text1"/>
          <w:sz w:val="20"/>
          <w:szCs w:val="20"/>
        </w:rPr>
        <w:t>1.1</w:t>
      </w:r>
      <w:r w:rsidR="002C7B87">
        <w:rPr>
          <w:rFonts w:ascii="Arial" w:hAnsi="Arial" w:cs="Arial"/>
          <w:color w:val="000000" w:themeColor="text1"/>
          <w:sz w:val="20"/>
          <w:szCs w:val="20"/>
        </w:rPr>
        <w:t xml:space="preserve">% while units were down by </w:t>
      </w:r>
      <w:r w:rsidR="005966E5">
        <w:rPr>
          <w:rFonts w:ascii="Arial" w:hAnsi="Arial" w:cs="Arial"/>
          <w:color w:val="000000" w:themeColor="text1"/>
          <w:sz w:val="20"/>
          <w:szCs w:val="20"/>
        </w:rPr>
        <w:t>1.2</w:t>
      </w:r>
      <w:r w:rsidR="007A14AA">
        <w:rPr>
          <w:rFonts w:ascii="Arial" w:hAnsi="Arial" w:cs="Arial"/>
          <w:color w:val="000000" w:themeColor="text1"/>
          <w:sz w:val="20"/>
          <w:szCs w:val="20"/>
        </w:rPr>
        <w:t>%</w:t>
      </w:r>
      <w:r w:rsidR="002C7B87">
        <w:rPr>
          <w:rFonts w:ascii="Arial" w:hAnsi="Arial" w:cs="Arial"/>
          <w:color w:val="000000" w:themeColor="text1"/>
          <w:sz w:val="20"/>
          <w:szCs w:val="20"/>
        </w:rPr>
        <w:t>. Total year unit sales were flat.</w:t>
      </w:r>
      <w:r w:rsidR="00146A75">
        <w:rPr>
          <w:rFonts w:ascii="Arial" w:hAnsi="Arial" w:cs="Arial"/>
          <w:color w:val="000000" w:themeColor="text1"/>
          <w:sz w:val="20"/>
          <w:szCs w:val="20"/>
        </w:rPr>
        <w:t xml:space="preserve"> Much of the sales pressure lies in frozen meals, whereas</w:t>
      </w:r>
      <w:r w:rsidR="00EF4667">
        <w:rPr>
          <w:rFonts w:ascii="Arial" w:hAnsi="Arial" w:cs="Arial"/>
          <w:color w:val="000000" w:themeColor="text1"/>
          <w:sz w:val="20"/>
          <w:szCs w:val="20"/>
        </w:rPr>
        <w:t xml:space="preserve"> processed meat and poultry sales </w:t>
      </w:r>
      <w:r w:rsidR="007A14AA">
        <w:rPr>
          <w:rFonts w:ascii="Arial" w:hAnsi="Arial" w:cs="Arial"/>
          <w:color w:val="000000" w:themeColor="text1"/>
          <w:sz w:val="20"/>
          <w:szCs w:val="20"/>
        </w:rPr>
        <w:t>continued to grow</w:t>
      </w:r>
      <w:r w:rsidR="005966E5">
        <w:rPr>
          <w:rFonts w:ascii="Arial" w:hAnsi="Arial" w:cs="Arial"/>
          <w:color w:val="000000" w:themeColor="text1"/>
          <w:sz w:val="20"/>
          <w:szCs w:val="20"/>
        </w:rPr>
        <w:t>.</w:t>
      </w:r>
      <w:r w:rsidR="00146A75">
        <w:rPr>
          <w:rFonts w:ascii="Arial" w:hAnsi="Arial" w:cs="Arial"/>
          <w:color w:val="000000" w:themeColor="text1"/>
          <w:sz w:val="20"/>
          <w:szCs w:val="20"/>
        </w:rPr>
        <w:t xml:space="preserve"> </w:t>
      </w:r>
      <w:r w:rsidR="00C75366">
        <w:rPr>
          <w:rFonts w:ascii="Arial" w:hAnsi="Arial" w:cs="Arial"/>
          <w:color w:val="000000" w:themeColor="text1"/>
          <w:sz w:val="20"/>
          <w:szCs w:val="20"/>
        </w:rPr>
        <w:t xml:space="preserve">Seafood sales </w:t>
      </w:r>
      <w:r w:rsidR="007A14AA">
        <w:rPr>
          <w:rFonts w:ascii="Arial" w:hAnsi="Arial" w:cs="Arial"/>
          <w:color w:val="000000" w:themeColor="text1"/>
          <w:sz w:val="20"/>
          <w:szCs w:val="20"/>
        </w:rPr>
        <w:t xml:space="preserve">exceeded processed meat and poultry sales this month, </w:t>
      </w:r>
      <w:r w:rsidR="005966E5">
        <w:rPr>
          <w:rFonts w:ascii="Arial" w:hAnsi="Arial" w:cs="Arial"/>
          <w:color w:val="000000" w:themeColor="text1"/>
          <w:sz w:val="20"/>
          <w:szCs w:val="20"/>
        </w:rPr>
        <w:t>but processed meat and poultry sales surpassed frozen seafood sales in the 52-week view</w:t>
      </w:r>
      <w:r w:rsidR="007A14AA">
        <w:rPr>
          <w:rFonts w:ascii="Arial" w:hAnsi="Arial" w:cs="Arial"/>
          <w:color w:val="000000" w:themeColor="text1"/>
          <w:sz w:val="20"/>
          <w:szCs w:val="20"/>
        </w:rPr>
        <w:t xml:space="preserve">. </w:t>
      </w:r>
      <w:r w:rsidR="00C75366">
        <w:rPr>
          <w:rFonts w:ascii="Arial" w:hAnsi="Arial" w:cs="Arial"/>
          <w:color w:val="000000" w:themeColor="text1"/>
          <w:sz w:val="20"/>
          <w:szCs w:val="20"/>
        </w:rPr>
        <w:t xml:space="preserve"> </w:t>
      </w:r>
    </w:p>
    <w:p w14:paraId="463D18FA" w14:textId="77777777" w:rsidR="00BA6703" w:rsidRPr="00545CB0" w:rsidRDefault="00BA6703" w:rsidP="00BA6703">
      <w:pPr>
        <w:pStyle w:val="NoSpacing"/>
        <w:ind w:right="11"/>
        <w:rPr>
          <w:sz w:val="10"/>
          <w:szCs w:val="10"/>
        </w:rPr>
      </w:pPr>
    </w:p>
    <w:tbl>
      <w:tblPr>
        <w:tblStyle w:val="ListTable1Light-Accent4"/>
        <w:tblW w:w="4781" w:type="pct"/>
        <w:tblLayout w:type="fixed"/>
        <w:tblLook w:val="04A0" w:firstRow="1" w:lastRow="0" w:firstColumn="1" w:lastColumn="0" w:noHBand="0" w:noVBand="1"/>
      </w:tblPr>
      <w:tblGrid>
        <w:gridCol w:w="2526"/>
        <w:gridCol w:w="1309"/>
        <w:gridCol w:w="1122"/>
        <w:gridCol w:w="1260"/>
        <w:gridCol w:w="1618"/>
        <w:gridCol w:w="96"/>
        <w:gridCol w:w="1075"/>
        <w:gridCol w:w="1159"/>
      </w:tblGrid>
      <w:tr w:rsidR="00C75C35" w:rsidRPr="00FF7600" w14:paraId="71FC3AC2" w14:textId="77777777" w:rsidTr="00052FAF">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tcBorders>
              <w:bottom w:val="none" w:sz="0" w:space="0" w:color="auto"/>
            </w:tcBorders>
            <w:shd w:val="clear" w:color="auto" w:fill="17365D" w:themeFill="text2" w:themeFillShade="BF"/>
          </w:tcPr>
          <w:p w14:paraId="15EBAC2D" w14:textId="621B42D3" w:rsidR="00C75C35" w:rsidRPr="00FF7600" w:rsidRDefault="00C75C35" w:rsidP="00C75C35">
            <w:pPr>
              <w:pStyle w:val="NoSpacing"/>
              <w:rPr>
                <w:rFonts w:ascii="Arial" w:hAnsi="Arial" w:cs="Arial"/>
                <w:color w:val="FFFFFF" w:themeColor="background1"/>
                <w:sz w:val="18"/>
                <w:szCs w:val="18"/>
              </w:rPr>
            </w:pPr>
          </w:p>
        </w:tc>
        <w:tc>
          <w:tcPr>
            <w:tcW w:w="1816" w:type="pct"/>
            <w:gridSpan w:val="3"/>
            <w:tcBorders>
              <w:bottom w:val="none" w:sz="0" w:space="0" w:color="auto"/>
            </w:tcBorders>
            <w:shd w:val="clear" w:color="auto" w:fill="17365D" w:themeFill="text2" w:themeFillShade="BF"/>
          </w:tcPr>
          <w:p w14:paraId="0D38EDAD" w14:textId="2CA4667B" w:rsidR="00C75C35" w:rsidRPr="00FF7600" w:rsidRDefault="003F4653"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April</w:t>
            </w:r>
            <w:r w:rsidR="00F34BCF">
              <w:rPr>
                <w:rFonts w:ascii="Arial" w:hAnsi="Arial" w:cs="Arial"/>
                <w:color w:val="FFFFFF" w:themeColor="background1"/>
                <w:sz w:val="18"/>
                <w:szCs w:val="18"/>
              </w:rPr>
              <w:t xml:space="preserve"> </w:t>
            </w:r>
            <w:r w:rsidR="006A6067">
              <w:rPr>
                <w:rFonts w:ascii="Arial" w:hAnsi="Arial" w:cs="Arial"/>
                <w:color w:val="FFFFFF" w:themeColor="background1"/>
                <w:sz w:val="18"/>
                <w:szCs w:val="18"/>
              </w:rPr>
              <w:t>2026</w:t>
            </w:r>
          </w:p>
        </w:tc>
        <w:tc>
          <w:tcPr>
            <w:tcW w:w="1942" w:type="pct"/>
            <w:gridSpan w:val="4"/>
            <w:tcBorders>
              <w:bottom w:val="none" w:sz="0" w:space="0" w:color="auto"/>
            </w:tcBorders>
            <w:shd w:val="clear" w:color="auto" w:fill="17365D" w:themeFill="text2" w:themeFillShade="BF"/>
          </w:tcPr>
          <w:p w14:paraId="5C02C995" w14:textId="5FA289CC" w:rsidR="00C75C35" w:rsidRPr="00FF7600" w:rsidRDefault="00C75C35"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052FA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44" w:type="pct"/>
            <w:shd w:val="clear" w:color="auto" w:fill="17365D" w:themeFill="text2" w:themeFillShade="BF"/>
          </w:tcPr>
          <w:p w14:paraId="321CAE5F" w14:textId="77777777" w:rsidR="008202B8" w:rsidRPr="00FF7600" w:rsidRDefault="008202B8"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0" w:type="pct"/>
            <w:shd w:val="clear" w:color="auto" w:fill="17365D" w:themeFill="text2" w:themeFillShade="BF"/>
          </w:tcPr>
          <w:p w14:paraId="512680EF" w14:textId="77777777" w:rsidR="008202B8" w:rsidRPr="00FF7600" w:rsidRDefault="008202B8"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7A14AA" w:rsidRPr="00E84021" w14:paraId="66677E76" w14:textId="77777777" w:rsidTr="003F4653">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595959" w:themeFill="text1" w:themeFillTint="A6"/>
          </w:tcPr>
          <w:p w14:paraId="59ADA336" w14:textId="33C42802" w:rsidR="007A14AA" w:rsidRPr="00E84021" w:rsidRDefault="007A14AA" w:rsidP="007A14AA">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44" w:type="pct"/>
            <w:shd w:val="clear" w:color="auto" w:fill="595959" w:themeFill="text1" w:themeFillTint="A6"/>
            <w:vAlign w:val="bottom"/>
          </w:tcPr>
          <w:p w14:paraId="755B3BB6" w14:textId="0644B325" w:rsidR="007A14AA" w:rsidRPr="00E84021" w:rsidRDefault="00F616DF"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hAnsi="Arial" w:cs="Arial"/>
                <w:b/>
                <w:bCs/>
                <w:color w:val="FFFFFF" w:themeColor="background1"/>
                <w:sz w:val="18"/>
                <w:szCs w:val="18"/>
              </w:rPr>
              <w:t>$</w:t>
            </w:r>
            <w:r w:rsidR="00395B32">
              <w:rPr>
                <w:rFonts w:ascii="Arial" w:hAnsi="Arial" w:cs="Arial"/>
                <w:b/>
                <w:bCs/>
                <w:color w:val="FFFFFF" w:themeColor="background1"/>
                <w:sz w:val="18"/>
                <w:szCs w:val="18"/>
              </w:rPr>
              <w:t>6.74</w:t>
            </w:r>
            <w:r w:rsidR="007A14AA">
              <w:rPr>
                <w:rFonts w:ascii="Arial" w:hAnsi="Arial" w:cs="Arial"/>
                <w:b/>
                <w:bCs/>
                <w:color w:val="FFFFFF" w:themeColor="background1"/>
                <w:sz w:val="18"/>
                <w:szCs w:val="18"/>
              </w:rPr>
              <w:t>B</w:t>
            </w:r>
          </w:p>
        </w:tc>
        <w:tc>
          <w:tcPr>
            <w:tcW w:w="552" w:type="pct"/>
            <w:shd w:val="clear" w:color="auto" w:fill="595959" w:themeFill="text1" w:themeFillTint="A6"/>
            <w:vAlign w:val="bottom"/>
          </w:tcPr>
          <w:p w14:paraId="480EA0F0" w14:textId="0BE47296" w:rsidR="007A14AA" w:rsidRPr="00E84021"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hAnsi="Arial" w:cs="Arial"/>
                <w:b/>
                <w:bCs/>
                <w:color w:val="FFFFFF" w:themeColor="background1"/>
                <w:sz w:val="18"/>
                <w:szCs w:val="18"/>
              </w:rPr>
              <w:t>+</w:t>
            </w:r>
            <w:r w:rsidR="00395B32">
              <w:rPr>
                <w:rFonts w:ascii="Arial" w:hAnsi="Arial" w:cs="Arial"/>
                <w:b/>
                <w:bCs/>
                <w:color w:val="FFFFFF" w:themeColor="background1"/>
                <w:sz w:val="18"/>
                <w:szCs w:val="18"/>
              </w:rPr>
              <w:t>1.1</w:t>
            </w:r>
            <w:r w:rsidRPr="000C20A3">
              <w:rPr>
                <w:rFonts w:ascii="Arial" w:hAnsi="Arial" w:cs="Arial"/>
                <w:b/>
                <w:bCs/>
                <w:color w:val="FFFFFF" w:themeColor="background1"/>
                <w:sz w:val="18"/>
                <w:szCs w:val="18"/>
              </w:rPr>
              <w:t>%</w:t>
            </w:r>
          </w:p>
        </w:tc>
        <w:tc>
          <w:tcPr>
            <w:tcW w:w="620" w:type="pct"/>
            <w:tcBorders>
              <w:right w:val="single" w:sz="4" w:space="0" w:color="auto"/>
            </w:tcBorders>
            <w:shd w:val="clear" w:color="auto" w:fill="595959" w:themeFill="text1" w:themeFillTint="A6"/>
            <w:vAlign w:val="bottom"/>
          </w:tcPr>
          <w:p w14:paraId="7440FFB6" w14:textId="5FCDEF91" w:rsidR="007A14AA" w:rsidRPr="00E84021" w:rsidRDefault="00F616DF"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hAnsi="Arial" w:cs="Arial"/>
                <w:b/>
                <w:bCs/>
                <w:color w:val="FFFFFF" w:themeColor="background1"/>
                <w:sz w:val="18"/>
                <w:szCs w:val="18"/>
              </w:rPr>
              <w:t>-</w:t>
            </w:r>
            <w:r w:rsidR="00395B32">
              <w:rPr>
                <w:rFonts w:ascii="Arial" w:hAnsi="Arial" w:cs="Arial"/>
                <w:b/>
                <w:bCs/>
                <w:color w:val="FFFFFF" w:themeColor="background1"/>
                <w:sz w:val="18"/>
                <w:szCs w:val="18"/>
              </w:rPr>
              <w:t>1.2</w:t>
            </w:r>
            <w:r w:rsidR="007A14AA" w:rsidRPr="000C20A3">
              <w:rPr>
                <w:rFonts w:ascii="Arial" w:hAnsi="Arial" w:cs="Arial"/>
                <w:b/>
                <w:bCs/>
                <w:color w:val="FFFFFF" w:themeColor="background1"/>
                <w:sz w:val="18"/>
                <w:szCs w:val="18"/>
              </w:rPr>
              <w:t>%</w:t>
            </w:r>
          </w:p>
        </w:tc>
        <w:tc>
          <w:tcPr>
            <w:tcW w:w="796" w:type="pct"/>
            <w:tcBorders>
              <w:left w:val="single" w:sz="4" w:space="0" w:color="auto"/>
            </w:tcBorders>
            <w:shd w:val="clear" w:color="auto" w:fill="595959" w:themeFill="text1" w:themeFillTint="A6"/>
            <w:vAlign w:val="bottom"/>
          </w:tcPr>
          <w:p w14:paraId="7C9ED1DD" w14:textId="07401AFC" w:rsidR="007A14AA" w:rsidRPr="00E84021" w:rsidRDefault="00F616DF" w:rsidP="007A14AA">
            <w:pPr>
              <w:tabs>
                <w:tab w:val="center" w:pos="701"/>
                <w:tab w:val="right" w:pos="1402"/>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w:t>
            </w:r>
            <w:r w:rsidR="005966E5">
              <w:rPr>
                <w:rFonts w:ascii="Arial" w:hAnsi="Arial" w:cs="Arial"/>
                <w:b/>
                <w:bCs/>
                <w:color w:val="FFFFFF" w:themeColor="background1"/>
                <w:sz w:val="18"/>
                <w:szCs w:val="18"/>
              </w:rPr>
              <w:t>88.3</w:t>
            </w:r>
            <w:r w:rsidR="007A14AA">
              <w:rPr>
                <w:rFonts w:ascii="Arial" w:hAnsi="Arial" w:cs="Arial"/>
                <w:b/>
                <w:bCs/>
                <w:color w:val="FFFFFF" w:themeColor="background1"/>
                <w:sz w:val="18"/>
                <w:szCs w:val="18"/>
              </w:rPr>
              <w:t>B</w:t>
            </w:r>
          </w:p>
        </w:tc>
        <w:tc>
          <w:tcPr>
            <w:tcW w:w="576" w:type="pct"/>
            <w:gridSpan w:val="2"/>
            <w:shd w:val="clear" w:color="auto" w:fill="595959" w:themeFill="text1" w:themeFillTint="A6"/>
            <w:vAlign w:val="bottom"/>
          </w:tcPr>
          <w:p w14:paraId="73E60916" w14:textId="4AC7D498" w:rsidR="007A14AA" w:rsidRPr="00E84021"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w:t>
            </w:r>
            <w:r w:rsidR="005966E5">
              <w:rPr>
                <w:rFonts w:ascii="Arial" w:hAnsi="Arial" w:cs="Arial"/>
                <w:b/>
                <w:bCs/>
                <w:color w:val="FFFFFF" w:themeColor="background1"/>
                <w:sz w:val="18"/>
                <w:szCs w:val="18"/>
              </w:rPr>
              <w:t>1.9</w:t>
            </w:r>
            <w:r w:rsidRPr="000C20A3">
              <w:rPr>
                <w:rFonts w:ascii="Arial" w:hAnsi="Arial" w:cs="Arial"/>
                <w:b/>
                <w:bCs/>
                <w:color w:val="FFFFFF" w:themeColor="background1"/>
                <w:sz w:val="18"/>
                <w:szCs w:val="18"/>
              </w:rPr>
              <w:t>%</w:t>
            </w:r>
          </w:p>
        </w:tc>
        <w:tc>
          <w:tcPr>
            <w:tcW w:w="570" w:type="pct"/>
            <w:shd w:val="clear" w:color="auto" w:fill="595959" w:themeFill="text1" w:themeFillTint="A6"/>
            <w:vAlign w:val="bottom"/>
          </w:tcPr>
          <w:p w14:paraId="5AF7904B" w14:textId="4E027B1A" w:rsidR="007A14AA" w:rsidRPr="00E84021" w:rsidRDefault="005966E5"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-0.1</w:t>
            </w:r>
            <w:r w:rsidR="007A14AA" w:rsidRPr="000C20A3">
              <w:rPr>
                <w:rFonts w:ascii="Arial" w:hAnsi="Arial" w:cs="Arial"/>
                <w:b/>
                <w:bCs/>
                <w:color w:val="FFFFFF" w:themeColor="background1"/>
                <w:sz w:val="18"/>
                <w:szCs w:val="18"/>
              </w:rPr>
              <w:t>%</w:t>
            </w:r>
          </w:p>
        </w:tc>
      </w:tr>
      <w:tr w:rsidR="00F616DF" w:rsidRPr="0093290D" w14:paraId="45EE1A0E" w14:textId="77777777" w:rsidTr="00FB59E4">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2F2F2" w:themeFill="background1" w:themeFillShade="F2"/>
          </w:tcPr>
          <w:p w14:paraId="2B6B6051" w14:textId="4C7251AF" w:rsidR="00F616DF" w:rsidRPr="0093290D" w:rsidRDefault="00F616DF" w:rsidP="00F616DF">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44" w:type="pct"/>
            <w:shd w:val="clear" w:color="auto" w:fill="F2F2F2" w:themeFill="background1" w:themeFillShade="F2"/>
            <w:vAlign w:val="bottom"/>
          </w:tcPr>
          <w:p w14:paraId="515AC909" w14:textId="0A7CDA37" w:rsidR="00F616DF" w:rsidRPr="0093290D"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395B32">
              <w:rPr>
                <w:rFonts w:ascii="Arial" w:hAnsi="Arial" w:cs="Arial"/>
                <w:color w:val="000000"/>
                <w:sz w:val="18"/>
                <w:szCs w:val="18"/>
              </w:rPr>
              <w:t>2.10</w:t>
            </w:r>
            <w:r>
              <w:rPr>
                <w:rFonts w:ascii="Arial" w:hAnsi="Arial" w:cs="Arial"/>
                <w:color w:val="000000"/>
                <w:sz w:val="18"/>
                <w:szCs w:val="18"/>
              </w:rPr>
              <w:t>B</w:t>
            </w:r>
          </w:p>
        </w:tc>
        <w:tc>
          <w:tcPr>
            <w:tcW w:w="552" w:type="pct"/>
            <w:shd w:val="clear" w:color="auto" w:fill="F2F2F2" w:themeFill="background1" w:themeFillShade="F2"/>
          </w:tcPr>
          <w:p w14:paraId="22DF2E4C" w14:textId="4C2D9B02" w:rsidR="00F616DF" w:rsidRPr="0093290D"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910EAF">
              <w:rPr>
                <w:rFonts w:ascii="Arial" w:hAnsi="Arial" w:cs="Arial"/>
                <w:color w:val="000000"/>
                <w:sz w:val="18"/>
                <w:szCs w:val="18"/>
              </w:rPr>
              <w:t>-</w:t>
            </w:r>
            <w:r w:rsidR="00395B32">
              <w:rPr>
                <w:rFonts w:ascii="Arial" w:hAnsi="Arial" w:cs="Arial"/>
                <w:color w:val="000000"/>
                <w:sz w:val="18"/>
                <w:szCs w:val="18"/>
              </w:rPr>
              <w:t>1.7</w:t>
            </w:r>
            <w:r w:rsidRPr="00910EAF">
              <w:rPr>
                <w:rFonts w:ascii="Arial" w:hAnsi="Arial" w:cs="Arial"/>
                <w:color w:val="000000"/>
                <w:sz w:val="18"/>
                <w:szCs w:val="18"/>
              </w:rPr>
              <w:t>%</w:t>
            </w:r>
          </w:p>
        </w:tc>
        <w:tc>
          <w:tcPr>
            <w:tcW w:w="620" w:type="pct"/>
            <w:tcBorders>
              <w:right w:val="single" w:sz="4" w:space="0" w:color="auto"/>
            </w:tcBorders>
            <w:shd w:val="clear" w:color="auto" w:fill="F2F2F2" w:themeFill="background1" w:themeFillShade="F2"/>
          </w:tcPr>
          <w:p w14:paraId="66FFCCC9" w14:textId="0D22B1F8" w:rsidR="00F616DF" w:rsidRPr="0093290D"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910EAF">
              <w:rPr>
                <w:rFonts w:ascii="Arial" w:hAnsi="Arial" w:cs="Arial"/>
                <w:color w:val="000000"/>
                <w:sz w:val="18"/>
                <w:szCs w:val="18"/>
              </w:rPr>
              <w:t>-</w:t>
            </w:r>
            <w:r w:rsidR="00395B32">
              <w:rPr>
                <w:rFonts w:ascii="Arial" w:hAnsi="Arial" w:cs="Arial"/>
                <w:color w:val="000000"/>
                <w:sz w:val="18"/>
                <w:szCs w:val="18"/>
              </w:rPr>
              <w:t>2.4</w:t>
            </w:r>
            <w:r w:rsidRPr="00910EAF">
              <w:rPr>
                <w:rFonts w:ascii="Arial" w:hAnsi="Arial" w:cs="Arial"/>
                <w:color w:val="000000"/>
                <w:sz w:val="18"/>
                <w:szCs w:val="18"/>
              </w:rPr>
              <w:t>%</w:t>
            </w:r>
          </w:p>
        </w:tc>
        <w:tc>
          <w:tcPr>
            <w:tcW w:w="796" w:type="pct"/>
            <w:tcBorders>
              <w:left w:val="single" w:sz="4" w:space="0" w:color="auto"/>
            </w:tcBorders>
            <w:shd w:val="clear" w:color="auto" w:fill="F2F2F2" w:themeFill="background1" w:themeFillShade="F2"/>
          </w:tcPr>
          <w:p w14:paraId="7E60172E" w14:textId="3BBCA498" w:rsidR="00F616DF" w:rsidRPr="0093290D"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F1C5C">
              <w:rPr>
                <w:rFonts w:ascii="Arial" w:hAnsi="Arial" w:cs="Arial"/>
                <w:color w:val="000000"/>
                <w:sz w:val="18"/>
                <w:szCs w:val="18"/>
              </w:rPr>
              <w:t>$</w:t>
            </w:r>
            <w:r w:rsidR="005966E5">
              <w:rPr>
                <w:rFonts w:ascii="Arial" w:hAnsi="Arial" w:cs="Arial"/>
                <w:color w:val="000000"/>
                <w:sz w:val="18"/>
                <w:szCs w:val="18"/>
              </w:rPr>
              <w:t>28.1</w:t>
            </w:r>
            <w:r w:rsidRPr="003F1C5C">
              <w:rPr>
                <w:rFonts w:ascii="Arial" w:hAnsi="Arial" w:cs="Arial"/>
                <w:color w:val="000000"/>
                <w:sz w:val="18"/>
                <w:szCs w:val="18"/>
              </w:rPr>
              <w:t>B</w:t>
            </w:r>
          </w:p>
        </w:tc>
        <w:tc>
          <w:tcPr>
            <w:tcW w:w="576" w:type="pct"/>
            <w:gridSpan w:val="2"/>
            <w:shd w:val="clear" w:color="auto" w:fill="F2F2F2" w:themeFill="background1" w:themeFillShade="F2"/>
            <w:vAlign w:val="bottom"/>
          </w:tcPr>
          <w:p w14:paraId="47662996" w14:textId="3294FD0A" w:rsidR="00F616DF" w:rsidRPr="0093290D"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0.8</w:t>
            </w:r>
            <w:r w:rsidRPr="000C20A3">
              <w:rPr>
                <w:rFonts w:ascii="Arial" w:hAnsi="Arial" w:cs="Arial"/>
                <w:color w:val="000000"/>
                <w:sz w:val="18"/>
                <w:szCs w:val="18"/>
              </w:rPr>
              <w:t>%</w:t>
            </w:r>
          </w:p>
        </w:tc>
        <w:tc>
          <w:tcPr>
            <w:tcW w:w="570" w:type="pct"/>
            <w:shd w:val="clear" w:color="auto" w:fill="F2F2F2" w:themeFill="background1" w:themeFillShade="F2"/>
          </w:tcPr>
          <w:p w14:paraId="35562C4B" w14:textId="5F8A43C7" w:rsidR="00F616DF" w:rsidRPr="0093290D"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67D34">
              <w:rPr>
                <w:rFonts w:ascii="Arial" w:hAnsi="Arial" w:cs="Arial"/>
                <w:color w:val="000000"/>
                <w:sz w:val="18"/>
                <w:szCs w:val="18"/>
              </w:rPr>
              <w:t>-</w:t>
            </w:r>
            <w:r w:rsidR="005966E5">
              <w:rPr>
                <w:rFonts w:ascii="Arial" w:hAnsi="Arial" w:cs="Arial"/>
                <w:color w:val="000000"/>
                <w:sz w:val="18"/>
                <w:szCs w:val="18"/>
              </w:rPr>
              <w:t>2.2</w:t>
            </w:r>
            <w:r w:rsidRPr="00967D34">
              <w:rPr>
                <w:rFonts w:ascii="Arial" w:hAnsi="Arial" w:cs="Arial"/>
                <w:color w:val="000000"/>
                <w:sz w:val="18"/>
                <w:szCs w:val="18"/>
              </w:rPr>
              <w:t>%</w:t>
            </w:r>
          </w:p>
        </w:tc>
      </w:tr>
      <w:tr w:rsidR="00F616DF" w:rsidRPr="0093290D" w14:paraId="33BAD936" w14:textId="77777777" w:rsidTr="00205713">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FFFFF" w:themeFill="background1"/>
          </w:tcPr>
          <w:p w14:paraId="6635218E" w14:textId="0A3D4086" w:rsidR="00F616DF" w:rsidRPr="0093290D" w:rsidRDefault="00F616DF" w:rsidP="00F616DF">
            <w:pPr>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Seafood</w:t>
            </w:r>
          </w:p>
        </w:tc>
        <w:tc>
          <w:tcPr>
            <w:tcW w:w="644" w:type="pct"/>
            <w:shd w:val="clear" w:color="auto" w:fill="FFFFFF" w:themeFill="background1"/>
          </w:tcPr>
          <w:p w14:paraId="1F552D30" w14:textId="05FC3815" w:rsidR="00F616DF" w:rsidRPr="0093290D"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352C">
              <w:rPr>
                <w:rFonts w:ascii="Arial" w:eastAsia="Times New Roman" w:hAnsi="Arial" w:cs="Arial"/>
                <w:color w:val="000000" w:themeColor="text1"/>
                <w:sz w:val="18"/>
                <w:szCs w:val="18"/>
              </w:rPr>
              <w:t>$</w:t>
            </w:r>
            <w:r w:rsidR="00395B32">
              <w:rPr>
                <w:rFonts w:ascii="Arial" w:eastAsia="Times New Roman" w:hAnsi="Arial" w:cs="Arial"/>
                <w:color w:val="000000" w:themeColor="text1"/>
                <w:sz w:val="18"/>
                <w:szCs w:val="18"/>
              </w:rPr>
              <w:t>671.4</w:t>
            </w:r>
            <w:r w:rsidRPr="00E7352C">
              <w:rPr>
                <w:rFonts w:ascii="Arial" w:eastAsia="Times New Roman" w:hAnsi="Arial" w:cs="Arial"/>
                <w:color w:val="000000" w:themeColor="text1"/>
                <w:sz w:val="18"/>
                <w:szCs w:val="18"/>
              </w:rPr>
              <w:t>M</w:t>
            </w:r>
          </w:p>
        </w:tc>
        <w:tc>
          <w:tcPr>
            <w:tcW w:w="552" w:type="pct"/>
            <w:shd w:val="clear" w:color="auto" w:fill="FFFFFF" w:themeFill="background1"/>
          </w:tcPr>
          <w:p w14:paraId="21B353CB" w14:textId="14E496ED" w:rsidR="00F616DF" w:rsidRPr="0093290D"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10EAF">
              <w:rPr>
                <w:rFonts w:ascii="Arial" w:hAnsi="Arial" w:cs="Arial"/>
                <w:color w:val="000000"/>
                <w:sz w:val="18"/>
                <w:szCs w:val="18"/>
              </w:rPr>
              <w:t>-</w:t>
            </w:r>
            <w:r w:rsidR="00395B32">
              <w:rPr>
                <w:rFonts w:ascii="Arial" w:hAnsi="Arial" w:cs="Arial"/>
                <w:color w:val="000000"/>
                <w:sz w:val="18"/>
                <w:szCs w:val="18"/>
              </w:rPr>
              <w:t>0.2</w:t>
            </w:r>
            <w:r w:rsidRPr="00910EAF">
              <w:rPr>
                <w:rFonts w:ascii="Arial" w:hAnsi="Arial" w:cs="Arial"/>
                <w:color w:val="000000"/>
                <w:sz w:val="18"/>
                <w:szCs w:val="18"/>
              </w:rPr>
              <w:t>%</w:t>
            </w:r>
          </w:p>
        </w:tc>
        <w:tc>
          <w:tcPr>
            <w:tcW w:w="620" w:type="pct"/>
            <w:tcBorders>
              <w:right w:val="single" w:sz="4" w:space="0" w:color="auto"/>
            </w:tcBorders>
            <w:shd w:val="clear" w:color="auto" w:fill="FFFFFF" w:themeFill="background1"/>
          </w:tcPr>
          <w:p w14:paraId="77A265EA" w14:textId="57A40C3F" w:rsidR="00F616DF" w:rsidRPr="0093290D"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10EAF">
              <w:rPr>
                <w:rFonts w:ascii="Arial" w:hAnsi="Arial" w:cs="Arial"/>
                <w:color w:val="000000"/>
                <w:sz w:val="18"/>
                <w:szCs w:val="18"/>
              </w:rPr>
              <w:t>-</w:t>
            </w:r>
            <w:r w:rsidR="005966E5">
              <w:rPr>
                <w:rFonts w:ascii="Arial" w:hAnsi="Arial" w:cs="Arial"/>
                <w:color w:val="000000"/>
                <w:sz w:val="18"/>
                <w:szCs w:val="18"/>
              </w:rPr>
              <w:t>14.2</w:t>
            </w:r>
            <w:r w:rsidRPr="00910EAF">
              <w:rPr>
                <w:rFonts w:ascii="Arial" w:hAnsi="Arial" w:cs="Arial"/>
                <w:color w:val="000000"/>
                <w:sz w:val="18"/>
                <w:szCs w:val="18"/>
              </w:rPr>
              <w:t>%</w:t>
            </w:r>
          </w:p>
        </w:tc>
        <w:tc>
          <w:tcPr>
            <w:tcW w:w="796" w:type="pct"/>
            <w:tcBorders>
              <w:left w:val="single" w:sz="4" w:space="0" w:color="auto"/>
            </w:tcBorders>
            <w:shd w:val="clear" w:color="auto" w:fill="FFFFFF" w:themeFill="background1"/>
          </w:tcPr>
          <w:p w14:paraId="2C2CB3AD" w14:textId="7E2B4367" w:rsidR="00F616DF" w:rsidRPr="0093290D"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F1C5C">
              <w:rPr>
                <w:rFonts w:ascii="Arial" w:hAnsi="Arial" w:cs="Arial"/>
                <w:color w:val="000000"/>
                <w:sz w:val="18"/>
                <w:szCs w:val="18"/>
              </w:rPr>
              <w:t>$</w:t>
            </w:r>
            <w:r w:rsidR="005966E5">
              <w:rPr>
                <w:rFonts w:ascii="Arial" w:hAnsi="Arial" w:cs="Arial"/>
                <w:color w:val="000000"/>
                <w:sz w:val="18"/>
                <w:szCs w:val="18"/>
              </w:rPr>
              <w:t>8.5</w:t>
            </w:r>
            <w:r w:rsidRPr="003F1C5C">
              <w:rPr>
                <w:rFonts w:ascii="Arial" w:hAnsi="Arial" w:cs="Arial"/>
                <w:color w:val="000000"/>
                <w:sz w:val="18"/>
                <w:szCs w:val="18"/>
              </w:rPr>
              <w:t>B</w:t>
            </w:r>
          </w:p>
        </w:tc>
        <w:tc>
          <w:tcPr>
            <w:tcW w:w="576" w:type="pct"/>
            <w:gridSpan w:val="2"/>
            <w:shd w:val="clear" w:color="auto" w:fill="FFFFFF" w:themeFill="background1"/>
          </w:tcPr>
          <w:p w14:paraId="49F5BC74" w14:textId="1A23429D" w:rsidR="00F616DF" w:rsidRPr="0093290D"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F24E6">
              <w:rPr>
                <w:rFonts w:ascii="Arial" w:hAnsi="Arial" w:cs="Arial"/>
                <w:color w:val="000000"/>
                <w:sz w:val="18"/>
                <w:szCs w:val="18"/>
              </w:rPr>
              <w:t>+</w:t>
            </w:r>
            <w:r w:rsidR="005966E5">
              <w:rPr>
                <w:rFonts w:ascii="Arial" w:hAnsi="Arial" w:cs="Arial"/>
                <w:color w:val="000000"/>
                <w:sz w:val="18"/>
                <w:szCs w:val="18"/>
              </w:rPr>
              <w:t>2.5</w:t>
            </w:r>
            <w:r w:rsidRPr="000F24E6">
              <w:rPr>
                <w:rFonts w:ascii="Arial" w:hAnsi="Arial" w:cs="Arial"/>
                <w:color w:val="000000"/>
                <w:sz w:val="18"/>
                <w:szCs w:val="18"/>
              </w:rPr>
              <w:t>%</w:t>
            </w:r>
          </w:p>
        </w:tc>
        <w:tc>
          <w:tcPr>
            <w:tcW w:w="570" w:type="pct"/>
            <w:shd w:val="clear" w:color="auto" w:fill="FFFFFF" w:themeFill="background1"/>
          </w:tcPr>
          <w:p w14:paraId="734B885A" w14:textId="4813B1DD" w:rsidR="00F616DF" w:rsidRPr="0093290D"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67D34">
              <w:rPr>
                <w:rFonts w:ascii="Arial" w:hAnsi="Arial" w:cs="Arial"/>
                <w:color w:val="000000"/>
                <w:sz w:val="18"/>
                <w:szCs w:val="18"/>
              </w:rPr>
              <w:t>-</w:t>
            </w:r>
            <w:r w:rsidR="005966E5">
              <w:rPr>
                <w:rFonts w:ascii="Arial" w:hAnsi="Arial" w:cs="Arial"/>
                <w:color w:val="000000"/>
                <w:sz w:val="18"/>
                <w:szCs w:val="18"/>
              </w:rPr>
              <w:t>4.8</w:t>
            </w:r>
            <w:r w:rsidRPr="00967D34">
              <w:rPr>
                <w:rFonts w:ascii="Arial" w:hAnsi="Arial" w:cs="Arial"/>
                <w:color w:val="000000"/>
                <w:sz w:val="18"/>
                <w:szCs w:val="18"/>
              </w:rPr>
              <w:t>%</w:t>
            </w:r>
          </w:p>
        </w:tc>
      </w:tr>
      <w:tr w:rsidR="00F616DF" w:rsidRPr="0093290D" w14:paraId="4C7ECB7E" w14:textId="77777777" w:rsidTr="0020571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2F2F2" w:themeFill="background1" w:themeFillShade="F2"/>
          </w:tcPr>
          <w:p w14:paraId="099371DC" w14:textId="090C35F1" w:rsidR="00F616DF" w:rsidRPr="0093290D" w:rsidRDefault="00F616DF" w:rsidP="00F616DF">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 xml:space="preserve"> and poultry</w:t>
            </w:r>
          </w:p>
        </w:tc>
        <w:tc>
          <w:tcPr>
            <w:tcW w:w="644" w:type="pct"/>
            <w:shd w:val="clear" w:color="auto" w:fill="F2F2F2" w:themeFill="background1" w:themeFillShade="F2"/>
          </w:tcPr>
          <w:p w14:paraId="7883AA02" w14:textId="2FCA9012" w:rsidR="00F616DF" w:rsidRPr="0093290D"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7352C">
              <w:rPr>
                <w:rFonts w:ascii="Arial" w:eastAsia="Times New Roman" w:hAnsi="Arial" w:cs="Arial"/>
                <w:color w:val="000000" w:themeColor="text1"/>
                <w:sz w:val="18"/>
                <w:szCs w:val="18"/>
              </w:rPr>
              <w:t>$</w:t>
            </w:r>
            <w:r w:rsidR="005966E5">
              <w:rPr>
                <w:rFonts w:ascii="Arial" w:eastAsia="Times New Roman" w:hAnsi="Arial" w:cs="Arial"/>
                <w:color w:val="000000" w:themeColor="text1"/>
                <w:sz w:val="18"/>
                <w:szCs w:val="18"/>
              </w:rPr>
              <w:t>652.5</w:t>
            </w:r>
            <w:r w:rsidRPr="00E7352C">
              <w:rPr>
                <w:rFonts w:ascii="Arial" w:eastAsia="Times New Roman" w:hAnsi="Arial" w:cs="Arial"/>
                <w:color w:val="000000" w:themeColor="text1"/>
                <w:sz w:val="18"/>
                <w:szCs w:val="18"/>
              </w:rPr>
              <w:t>M</w:t>
            </w:r>
          </w:p>
        </w:tc>
        <w:tc>
          <w:tcPr>
            <w:tcW w:w="552" w:type="pct"/>
            <w:shd w:val="clear" w:color="auto" w:fill="F2F2F2" w:themeFill="background1" w:themeFillShade="F2"/>
            <w:vAlign w:val="bottom"/>
          </w:tcPr>
          <w:p w14:paraId="6E1E0B8E" w14:textId="44054A83" w:rsidR="00F616DF" w:rsidRPr="0093290D"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4.3</w:t>
            </w:r>
            <w:r w:rsidRPr="000C20A3">
              <w:rPr>
                <w:rFonts w:ascii="Arial" w:hAnsi="Arial" w:cs="Arial"/>
                <w:color w:val="000000"/>
                <w:sz w:val="18"/>
                <w:szCs w:val="18"/>
              </w:rPr>
              <w:t>%</w:t>
            </w:r>
          </w:p>
        </w:tc>
        <w:tc>
          <w:tcPr>
            <w:tcW w:w="620" w:type="pct"/>
            <w:tcBorders>
              <w:right w:val="single" w:sz="4" w:space="0" w:color="auto"/>
            </w:tcBorders>
            <w:shd w:val="clear" w:color="auto" w:fill="F2F2F2" w:themeFill="background1" w:themeFillShade="F2"/>
            <w:vAlign w:val="bottom"/>
          </w:tcPr>
          <w:p w14:paraId="11AE381B" w14:textId="250C0B9E" w:rsidR="00F616DF" w:rsidRPr="0093290D"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3.4</w:t>
            </w:r>
            <w:r w:rsidRPr="000C20A3">
              <w:rPr>
                <w:rFonts w:ascii="Arial" w:hAnsi="Arial" w:cs="Arial"/>
                <w:color w:val="000000"/>
                <w:sz w:val="18"/>
                <w:szCs w:val="18"/>
              </w:rPr>
              <w:t>%</w:t>
            </w:r>
          </w:p>
        </w:tc>
        <w:tc>
          <w:tcPr>
            <w:tcW w:w="796" w:type="pct"/>
            <w:tcBorders>
              <w:left w:val="single" w:sz="4" w:space="0" w:color="auto"/>
            </w:tcBorders>
            <w:shd w:val="clear" w:color="auto" w:fill="F2F2F2" w:themeFill="background1" w:themeFillShade="F2"/>
          </w:tcPr>
          <w:p w14:paraId="63AB1E7A" w14:textId="476EC595" w:rsidR="00F616DF" w:rsidRPr="0093290D"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F1C5C">
              <w:rPr>
                <w:rFonts w:ascii="Arial" w:hAnsi="Arial" w:cs="Arial"/>
                <w:color w:val="000000"/>
                <w:sz w:val="18"/>
                <w:szCs w:val="18"/>
              </w:rPr>
              <w:t>$</w:t>
            </w:r>
            <w:r w:rsidR="005966E5">
              <w:rPr>
                <w:rFonts w:ascii="Arial" w:hAnsi="Arial" w:cs="Arial"/>
                <w:color w:val="000000"/>
                <w:sz w:val="18"/>
                <w:szCs w:val="18"/>
              </w:rPr>
              <w:t>8.7</w:t>
            </w:r>
            <w:r w:rsidRPr="003F1C5C">
              <w:rPr>
                <w:rFonts w:ascii="Arial" w:hAnsi="Arial" w:cs="Arial"/>
                <w:color w:val="000000"/>
                <w:sz w:val="18"/>
                <w:szCs w:val="18"/>
              </w:rPr>
              <w:t>B</w:t>
            </w:r>
          </w:p>
        </w:tc>
        <w:tc>
          <w:tcPr>
            <w:tcW w:w="576" w:type="pct"/>
            <w:gridSpan w:val="2"/>
            <w:shd w:val="clear" w:color="auto" w:fill="F2F2F2" w:themeFill="background1" w:themeFillShade="F2"/>
          </w:tcPr>
          <w:p w14:paraId="36BD10C7" w14:textId="4A7E215E" w:rsidR="00F616DF" w:rsidRPr="0093290D"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F24E6">
              <w:rPr>
                <w:rFonts w:ascii="Arial" w:hAnsi="Arial" w:cs="Arial"/>
                <w:color w:val="000000"/>
                <w:sz w:val="18"/>
                <w:szCs w:val="18"/>
              </w:rPr>
              <w:t>+</w:t>
            </w:r>
            <w:r w:rsidR="005966E5">
              <w:rPr>
                <w:rFonts w:ascii="Arial" w:hAnsi="Arial" w:cs="Arial"/>
                <w:color w:val="000000"/>
                <w:sz w:val="18"/>
                <w:szCs w:val="18"/>
              </w:rPr>
              <w:t>7.4</w:t>
            </w:r>
            <w:r w:rsidRPr="000F24E6">
              <w:rPr>
                <w:rFonts w:ascii="Arial" w:hAnsi="Arial" w:cs="Arial"/>
                <w:color w:val="000000"/>
                <w:sz w:val="18"/>
                <w:szCs w:val="18"/>
              </w:rPr>
              <w:t>%</w:t>
            </w:r>
          </w:p>
        </w:tc>
        <w:tc>
          <w:tcPr>
            <w:tcW w:w="570" w:type="pct"/>
            <w:shd w:val="clear" w:color="auto" w:fill="F2F2F2" w:themeFill="background1" w:themeFillShade="F2"/>
            <w:vAlign w:val="bottom"/>
          </w:tcPr>
          <w:p w14:paraId="0E396FB2" w14:textId="32B3F543" w:rsidR="00F616DF" w:rsidRPr="0093290D"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5.7</w:t>
            </w:r>
            <w:r w:rsidRPr="000C20A3">
              <w:rPr>
                <w:rFonts w:ascii="Arial" w:hAnsi="Arial" w:cs="Arial"/>
                <w:color w:val="000000"/>
                <w:sz w:val="18"/>
                <w:szCs w:val="18"/>
              </w:rPr>
              <w:t>%</w:t>
            </w:r>
          </w:p>
        </w:tc>
      </w:tr>
      <w:tr w:rsidR="00F616DF" w:rsidRPr="0093290D" w14:paraId="58CCACA8" w14:textId="77777777" w:rsidTr="00205713">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FFFFF" w:themeFill="background1"/>
          </w:tcPr>
          <w:p w14:paraId="5537AC12" w14:textId="5320D90C" w:rsidR="00F616DF" w:rsidRPr="0093290D" w:rsidRDefault="00F616DF" w:rsidP="00F616DF">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44" w:type="pct"/>
            <w:shd w:val="clear" w:color="auto" w:fill="FFFFFF" w:themeFill="background1"/>
          </w:tcPr>
          <w:p w14:paraId="53D10B60" w14:textId="6FECFF95" w:rsidR="00F616DF" w:rsidRPr="0093290D"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7352C">
              <w:rPr>
                <w:rFonts w:ascii="Arial" w:eastAsia="Times New Roman" w:hAnsi="Arial" w:cs="Arial"/>
                <w:color w:val="000000" w:themeColor="text1"/>
                <w:sz w:val="18"/>
                <w:szCs w:val="18"/>
              </w:rPr>
              <w:t>$</w:t>
            </w:r>
            <w:r w:rsidR="005966E5">
              <w:rPr>
                <w:rFonts w:ascii="Arial" w:eastAsia="Times New Roman" w:hAnsi="Arial" w:cs="Arial"/>
                <w:color w:val="000000" w:themeColor="text1"/>
                <w:sz w:val="18"/>
                <w:szCs w:val="18"/>
              </w:rPr>
              <w:t>502.5</w:t>
            </w:r>
            <w:r w:rsidRPr="00E7352C">
              <w:rPr>
                <w:rFonts w:ascii="Arial" w:eastAsia="Times New Roman" w:hAnsi="Arial" w:cs="Arial"/>
                <w:color w:val="000000" w:themeColor="text1"/>
                <w:sz w:val="18"/>
                <w:szCs w:val="18"/>
              </w:rPr>
              <w:t>M</w:t>
            </w:r>
          </w:p>
        </w:tc>
        <w:tc>
          <w:tcPr>
            <w:tcW w:w="552" w:type="pct"/>
            <w:shd w:val="clear" w:color="auto" w:fill="FFFFFF" w:themeFill="background1"/>
            <w:vAlign w:val="bottom"/>
          </w:tcPr>
          <w:p w14:paraId="15AE4934" w14:textId="42E43F0C" w:rsidR="00F616DF" w:rsidRPr="0093290D"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4.6</w:t>
            </w:r>
            <w:r w:rsidRPr="000C20A3">
              <w:rPr>
                <w:rFonts w:ascii="Arial" w:hAnsi="Arial" w:cs="Arial"/>
                <w:color w:val="000000"/>
                <w:sz w:val="18"/>
                <w:szCs w:val="18"/>
              </w:rPr>
              <w:t>%</w:t>
            </w:r>
          </w:p>
        </w:tc>
        <w:tc>
          <w:tcPr>
            <w:tcW w:w="620" w:type="pct"/>
            <w:tcBorders>
              <w:right w:val="single" w:sz="4" w:space="0" w:color="auto"/>
            </w:tcBorders>
            <w:shd w:val="clear" w:color="auto" w:fill="FFFFFF" w:themeFill="background1"/>
            <w:vAlign w:val="bottom"/>
          </w:tcPr>
          <w:p w14:paraId="5A3B15DF" w14:textId="64FC3D36" w:rsidR="00F616DF" w:rsidRPr="0093290D"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3.1</w:t>
            </w:r>
            <w:r w:rsidRPr="000C20A3">
              <w:rPr>
                <w:rFonts w:ascii="Arial" w:hAnsi="Arial" w:cs="Arial"/>
                <w:color w:val="000000"/>
                <w:sz w:val="18"/>
                <w:szCs w:val="18"/>
              </w:rPr>
              <w:t>%</w:t>
            </w:r>
          </w:p>
        </w:tc>
        <w:tc>
          <w:tcPr>
            <w:tcW w:w="796" w:type="pct"/>
            <w:tcBorders>
              <w:left w:val="single" w:sz="4" w:space="0" w:color="auto"/>
            </w:tcBorders>
            <w:shd w:val="clear" w:color="auto" w:fill="FFFFFF" w:themeFill="background1"/>
          </w:tcPr>
          <w:p w14:paraId="27C2FEE1" w14:textId="52E7869D" w:rsidR="00F616DF" w:rsidRPr="0093290D"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F1C5C">
              <w:rPr>
                <w:rFonts w:ascii="Arial" w:hAnsi="Arial" w:cs="Arial"/>
                <w:color w:val="000000"/>
                <w:sz w:val="18"/>
                <w:szCs w:val="18"/>
              </w:rPr>
              <w:t>$</w:t>
            </w:r>
            <w:r w:rsidR="005966E5">
              <w:rPr>
                <w:rFonts w:ascii="Arial" w:hAnsi="Arial" w:cs="Arial"/>
                <w:color w:val="000000"/>
                <w:sz w:val="18"/>
                <w:szCs w:val="18"/>
              </w:rPr>
              <w:t>6.6</w:t>
            </w:r>
            <w:r w:rsidRPr="003F1C5C">
              <w:rPr>
                <w:rFonts w:ascii="Arial" w:hAnsi="Arial" w:cs="Arial"/>
                <w:color w:val="000000"/>
                <w:sz w:val="18"/>
                <w:szCs w:val="18"/>
              </w:rPr>
              <w:t>B</w:t>
            </w:r>
          </w:p>
        </w:tc>
        <w:tc>
          <w:tcPr>
            <w:tcW w:w="576" w:type="pct"/>
            <w:gridSpan w:val="2"/>
            <w:shd w:val="clear" w:color="auto" w:fill="FFFFFF" w:themeFill="background1"/>
          </w:tcPr>
          <w:p w14:paraId="7EB8C2AB" w14:textId="306FA2D6" w:rsidR="00F616DF" w:rsidRPr="0093290D"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F24E6">
              <w:rPr>
                <w:rFonts w:ascii="Arial" w:hAnsi="Arial" w:cs="Arial"/>
                <w:color w:val="000000"/>
                <w:sz w:val="18"/>
                <w:szCs w:val="18"/>
              </w:rPr>
              <w:t>+</w:t>
            </w:r>
            <w:r w:rsidR="005966E5">
              <w:rPr>
                <w:rFonts w:ascii="Arial" w:hAnsi="Arial" w:cs="Arial"/>
                <w:color w:val="000000"/>
                <w:sz w:val="18"/>
                <w:szCs w:val="18"/>
              </w:rPr>
              <w:t>4.5</w:t>
            </w:r>
            <w:r w:rsidRPr="000F24E6">
              <w:rPr>
                <w:rFonts w:ascii="Arial" w:hAnsi="Arial" w:cs="Arial"/>
                <w:color w:val="000000"/>
                <w:sz w:val="18"/>
                <w:szCs w:val="18"/>
              </w:rPr>
              <w:t>%</w:t>
            </w:r>
          </w:p>
        </w:tc>
        <w:tc>
          <w:tcPr>
            <w:tcW w:w="570" w:type="pct"/>
            <w:shd w:val="clear" w:color="auto" w:fill="FFFFFF" w:themeFill="background1"/>
            <w:vAlign w:val="bottom"/>
          </w:tcPr>
          <w:p w14:paraId="11111E86" w14:textId="47962B35" w:rsidR="00F616DF" w:rsidRPr="0093290D"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1.0</w:t>
            </w:r>
            <w:r w:rsidRPr="000C20A3">
              <w:rPr>
                <w:rFonts w:ascii="Arial" w:hAnsi="Arial" w:cs="Arial"/>
                <w:color w:val="000000"/>
                <w:sz w:val="18"/>
                <w:szCs w:val="18"/>
              </w:rPr>
              <w:t>%</w:t>
            </w:r>
          </w:p>
        </w:tc>
      </w:tr>
    </w:tbl>
    <w:p w14:paraId="5C83A159" w14:textId="77777777" w:rsidR="005966E5" w:rsidRDefault="005966E5" w:rsidP="00386BC6">
      <w:pPr>
        <w:pStyle w:val="NoSpacing"/>
        <w:rPr>
          <w:rFonts w:ascii="Arial" w:hAnsi="Arial" w:cs="Arial"/>
          <w:color w:val="7F7F7F" w:themeColor="text1" w:themeTint="80"/>
          <w:sz w:val="16"/>
          <w:szCs w:val="16"/>
        </w:rPr>
      </w:pPr>
    </w:p>
    <w:p w14:paraId="6046A26D" w14:textId="10E28136"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Source: Circana,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579838BD" w14:textId="77777777" w:rsidR="005966E5" w:rsidRDefault="005966E5">
      <w:pPr>
        <w:rPr>
          <w:rFonts w:ascii="Arial" w:hAnsi="Arial" w:cs="Arial"/>
          <w:color w:val="000000" w:themeColor="text1"/>
          <w:sz w:val="20"/>
          <w:szCs w:val="20"/>
        </w:rPr>
      </w:pPr>
      <w:r>
        <w:rPr>
          <w:rFonts w:ascii="Arial" w:hAnsi="Arial" w:cs="Arial"/>
          <w:color w:val="000000" w:themeColor="text1"/>
          <w:sz w:val="20"/>
          <w:szCs w:val="20"/>
        </w:rPr>
        <w:br w:type="page"/>
      </w:r>
    </w:p>
    <w:p w14:paraId="07505EF7" w14:textId="77777777" w:rsidR="005966E5" w:rsidRDefault="005966E5" w:rsidP="004970F6">
      <w:pPr>
        <w:pStyle w:val="NoSpacing"/>
        <w:rPr>
          <w:rFonts w:ascii="Arial" w:hAnsi="Arial" w:cs="Arial"/>
          <w:color w:val="000000" w:themeColor="text1"/>
          <w:sz w:val="20"/>
          <w:szCs w:val="20"/>
        </w:rPr>
      </w:pPr>
    </w:p>
    <w:p w14:paraId="7278905D" w14:textId="2B974522" w:rsidR="00F97C2B" w:rsidRDefault="00C85A0C" w:rsidP="004970F6">
      <w:pPr>
        <w:pStyle w:val="NoSpacing"/>
        <w:rPr>
          <w:rFonts w:ascii="Arial" w:hAnsi="Arial" w:cs="Arial"/>
          <w:color w:val="000000" w:themeColor="text1"/>
          <w:sz w:val="20"/>
          <w:szCs w:val="20"/>
        </w:rPr>
      </w:pPr>
      <w:r>
        <w:rPr>
          <w:rFonts w:ascii="Arial" w:hAnsi="Arial" w:cs="Arial"/>
          <w:color w:val="000000" w:themeColor="text1"/>
          <w:sz w:val="20"/>
          <w:szCs w:val="20"/>
        </w:rPr>
        <w:t xml:space="preserve">Both frozen finfish and shellfish had a down month in April, with the </w:t>
      </w:r>
      <w:r w:rsidR="0065632F">
        <w:rPr>
          <w:rFonts w:ascii="Arial" w:hAnsi="Arial" w:cs="Arial"/>
          <w:color w:val="000000" w:themeColor="text1"/>
          <w:sz w:val="20"/>
          <w:szCs w:val="20"/>
        </w:rPr>
        <w:t xml:space="preserve">decline in shrimp and pollock weighing heavily on the results.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892" w:type="dxa"/>
        <w:tblBorders>
          <w:top w:val="none" w:sz="0" w:space="0" w:color="auto"/>
          <w:bottom w:val="none" w:sz="0" w:space="0" w:color="auto"/>
        </w:tblBorders>
        <w:tblLayout w:type="fixed"/>
        <w:tblLook w:val="04A0" w:firstRow="1" w:lastRow="0" w:firstColumn="1" w:lastColumn="0" w:noHBand="0" w:noVBand="1"/>
      </w:tblPr>
      <w:tblGrid>
        <w:gridCol w:w="1133"/>
        <w:gridCol w:w="23"/>
        <w:gridCol w:w="725"/>
        <w:gridCol w:w="645"/>
        <w:gridCol w:w="645"/>
        <w:gridCol w:w="645"/>
        <w:gridCol w:w="652"/>
        <w:gridCol w:w="720"/>
        <w:gridCol w:w="864"/>
        <w:gridCol w:w="772"/>
        <w:gridCol w:w="727"/>
        <w:gridCol w:w="864"/>
        <w:gridCol w:w="720"/>
        <w:gridCol w:w="864"/>
        <w:gridCol w:w="893"/>
      </w:tblGrid>
      <w:tr w:rsidR="007A14AA" w:rsidRPr="00124BCF" w14:paraId="045CB233" w14:textId="77777777" w:rsidTr="007148BD">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133" w:type="dxa"/>
            <w:shd w:val="clear" w:color="auto" w:fill="17365D" w:themeFill="text2" w:themeFillShade="BF"/>
          </w:tcPr>
          <w:p w14:paraId="382655BC" w14:textId="77777777" w:rsidR="007A14AA" w:rsidRPr="007148BD" w:rsidRDefault="007A14AA" w:rsidP="007A14AA">
            <w:pPr>
              <w:pStyle w:val="NoSpacing"/>
              <w:rPr>
                <w:rFonts w:ascii="Arial" w:hAnsi="Arial" w:cs="Arial"/>
                <w:color w:val="FFFFFF" w:themeColor="background1"/>
                <w:sz w:val="16"/>
                <w:szCs w:val="16"/>
              </w:rPr>
            </w:pPr>
            <w:r w:rsidRPr="007148BD">
              <w:rPr>
                <w:rFonts w:ascii="Arial" w:hAnsi="Arial" w:cs="Arial"/>
                <w:color w:val="FFFFFF" w:themeColor="background1"/>
                <w:sz w:val="16"/>
                <w:szCs w:val="16"/>
              </w:rPr>
              <w:t>Dollar sales</w:t>
            </w:r>
          </w:p>
        </w:tc>
        <w:tc>
          <w:tcPr>
            <w:tcW w:w="748" w:type="dxa"/>
            <w:gridSpan w:val="2"/>
            <w:shd w:val="clear" w:color="auto" w:fill="17365D" w:themeFill="text2" w:themeFillShade="BF"/>
            <w:vAlign w:val="center"/>
          </w:tcPr>
          <w:p w14:paraId="31B3EF87" w14:textId="77777777" w:rsidR="007A14AA" w:rsidRPr="007148BD" w:rsidRDefault="007A14AA" w:rsidP="007A14A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2020</w:t>
            </w:r>
          </w:p>
        </w:tc>
        <w:tc>
          <w:tcPr>
            <w:tcW w:w="645" w:type="dxa"/>
            <w:shd w:val="clear" w:color="auto" w:fill="17365D" w:themeFill="text2" w:themeFillShade="BF"/>
            <w:vAlign w:val="center"/>
          </w:tcPr>
          <w:p w14:paraId="5EF8ECE7" w14:textId="77777777"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2021</w:t>
            </w:r>
          </w:p>
        </w:tc>
        <w:tc>
          <w:tcPr>
            <w:tcW w:w="645" w:type="dxa"/>
            <w:shd w:val="clear" w:color="auto" w:fill="17365D" w:themeFill="text2" w:themeFillShade="BF"/>
            <w:vAlign w:val="center"/>
          </w:tcPr>
          <w:p w14:paraId="0EA5321D" w14:textId="77777777"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2022</w:t>
            </w:r>
          </w:p>
        </w:tc>
        <w:tc>
          <w:tcPr>
            <w:tcW w:w="645" w:type="dxa"/>
            <w:shd w:val="clear" w:color="auto" w:fill="17365D" w:themeFill="text2" w:themeFillShade="BF"/>
            <w:vAlign w:val="center"/>
          </w:tcPr>
          <w:p w14:paraId="72802DFE" w14:textId="77777777"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2023</w:t>
            </w:r>
          </w:p>
        </w:tc>
        <w:tc>
          <w:tcPr>
            <w:tcW w:w="652" w:type="dxa"/>
            <w:shd w:val="clear" w:color="auto" w:fill="17365D" w:themeFill="text2" w:themeFillShade="BF"/>
            <w:vAlign w:val="center"/>
          </w:tcPr>
          <w:p w14:paraId="3A71509A" w14:textId="77777777"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2024</w:t>
            </w:r>
          </w:p>
        </w:tc>
        <w:tc>
          <w:tcPr>
            <w:tcW w:w="720" w:type="dxa"/>
            <w:shd w:val="clear" w:color="auto" w:fill="17365D" w:themeFill="text2" w:themeFillShade="BF"/>
            <w:vAlign w:val="center"/>
          </w:tcPr>
          <w:p w14:paraId="14E502EF" w14:textId="1988D292"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2025</w:t>
            </w:r>
          </w:p>
        </w:tc>
        <w:tc>
          <w:tcPr>
            <w:tcW w:w="864" w:type="dxa"/>
            <w:shd w:val="clear" w:color="auto" w:fill="17365D" w:themeFill="text2" w:themeFillShade="BF"/>
            <w:vAlign w:val="center"/>
          </w:tcPr>
          <w:p w14:paraId="63A8018E" w14:textId="69C7210E"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Q2 25</w:t>
            </w:r>
          </w:p>
        </w:tc>
        <w:tc>
          <w:tcPr>
            <w:tcW w:w="772" w:type="dxa"/>
            <w:shd w:val="clear" w:color="auto" w:fill="17365D" w:themeFill="text2" w:themeFillShade="BF"/>
            <w:vAlign w:val="center"/>
          </w:tcPr>
          <w:p w14:paraId="3F5082FF" w14:textId="58E0F604"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Q3 25</w:t>
            </w:r>
          </w:p>
        </w:tc>
        <w:tc>
          <w:tcPr>
            <w:tcW w:w="727" w:type="dxa"/>
            <w:shd w:val="clear" w:color="auto" w:fill="17365D" w:themeFill="text2" w:themeFillShade="BF"/>
            <w:vAlign w:val="center"/>
          </w:tcPr>
          <w:p w14:paraId="1447142C" w14:textId="58AA80A1"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Q4 25</w:t>
            </w:r>
          </w:p>
        </w:tc>
        <w:tc>
          <w:tcPr>
            <w:tcW w:w="864" w:type="dxa"/>
            <w:shd w:val="clear" w:color="auto" w:fill="17365D" w:themeFill="text2" w:themeFillShade="BF"/>
            <w:vAlign w:val="center"/>
          </w:tcPr>
          <w:p w14:paraId="76DFEE46" w14:textId="789B011A"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w:t>
            </w:r>
            <w:r>
              <w:rPr>
                <w:rFonts w:ascii="Arial" w:hAnsi="Arial" w:cs="Arial"/>
                <w:bCs w:val="0"/>
                <w:color w:val="FFFFFF" w:themeColor="background1"/>
                <w:sz w:val="16"/>
                <w:szCs w:val="16"/>
              </w:rPr>
              <w:t>1</w:t>
            </w:r>
            <w:r w:rsidR="003F4653">
              <w:rPr>
                <w:rFonts w:ascii="Arial" w:hAnsi="Arial" w:cs="Arial"/>
                <w:bCs w:val="0"/>
                <w:color w:val="FFFFFF" w:themeColor="background1"/>
                <w:sz w:val="16"/>
                <w:szCs w:val="16"/>
              </w:rPr>
              <w:t xml:space="preserve"> 26</w:t>
            </w:r>
          </w:p>
        </w:tc>
        <w:tc>
          <w:tcPr>
            <w:tcW w:w="720" w:type="dxa"/>
            <w:shd w:val="clear" w:color="auto" w:fill="17365D" w:themeFill="text2" w:themeFillShade="BF"/>
            <w:vAlign w:val="center"/>
          </w:tcPr>
          <w:p w14:paraId="0EBE4562" w14:textId="3C9ADA5C" w:rsidR="007A14AA" w:rsidRPr="007148BD" w:rsidRDefault="003F4653"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Pr>
                <w:rFonts w:ascii="Arial" w:hAnsi="Arial" w:cs="Arial"/>
                <w:bCs w:val="0"/>
                <w:color w:val="FFFFFF" w:themeColor="background1"/>
                <w:sz w:val="16"/>
                <w:szCs w:val="16"/>
              </w:rPr>
              <w:t>Apr</w:t>
            </w:r>
            <w:r w:rsidR="007A14AA">
              <w:rPr>
                <w:rFonts w:ascii="Arial" w:hAnsi="Arial" w:cs="Arial"/>
                <w:bCs w:val="0"/>
                <w:color w:val="FFFFFF" w:themeColor="background1"/>
                <w:sz w:val="16"/>
                <w:szCs w:val="16"/>
              </w:rPr>
              <w:t xml:space="preserve"> ‘26</w:t>
            </w:r>
          </w:p>
        </w:tc>
        <w:tc>
          <w:tcPr>
            <w:tcW w:w="864" w:type="dxa"/>
            <w:shd w:val="clear" w:color="auto" w:fill="17365D" w:themeFill="text2" w:themeFillShade="BF"/>
            <w:vAlign w:val="center"/>
          </w:tcPr>
          <w:p w14:paraId="347884CA" w14:textId="77777777"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 xml:space="preserve">$ </w:t>
            </w:r>
            <w:r w:rsidRPr="007148BD">
              <w:rPr>
                <w:rFonts w:ascii="Arial" w:hAnsi="Arial" w:cs="Arial"/>
                <w:bCs w:val="0"/>
                <w:color w:val="FFFFFF" w:themeColor="background1"/>
                <w:sz w:val="16"/>
                <w:szCs w:val="16"/>
              </w:rPr>
              <w:br/>
              <w:t>vs YA</w:t>
            </w:r>
          </w:p>
        </w:tc>
        <w:tc>
          <w:tcPr>
            <w:tcW w:w="893" w:type="dxa"/>
            <w:shd w:val="clear" w:color="auto" w:fill="17365D" w:themeFill="text2" w:themeFillShade="BF"/>
            <w:vAlign w:val="center"/>
          </w:tcPr>
          <w:p w14:paraId="0E8AF81A" w14:textId="77777777"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 xml:space="preserve">Pounds </w:t>
            </w:r>
            <w:r w:rsidRPr="007148BD">
              <w:rPr>
                <w:rFonts w:ascii="Arial" w:hAnsi="Arial" w:cs="Arial"/>
                <w:bCs w:val="0"/>
                <w:color w:val="FFFFFF" w:themeColor="background1"/>
                <w:sz w:val="16"/>
                <w:szCs w:val="16"/>
              </w:rPr>
              <w:br/>
              <w:t>vs YA</w:t>
            </w:r>
          </w:p>
        </w:tc>
      </w:tr>
      <w:tr w:rsidR="007A14AA" w:rsidRPr="000562A3" w14:paraId="4371B11D" w14:textId="77777777" w:rsidTr="001E070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595959" w:themeFill="text1" w:themeFillTint="A6"/>
            <w:vAlign w:val="center"/>
          </w:tcPr>
          <w:p w14:paraId="732CFD34" w14:textId="0F89DF46" w:rsidR="007A14AA" w:rsidRPr="007148BD" w:rsidRDefault="007A14AA" w:rsidP="007A14AA">
            <w:pPr>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Fz seafood</w:t>
            </w:r>
          </w:p>
        </w:tc>
        <w:tc>
          <w:tcPr>
            <w:tcW w:w="725" w:type="dxa"/>
            <w:shd w:val="clear" w:color="auto" w:fill="595959" w:themeFill="text1" w:themeFillTint="A6"/>
            <w:vAlign w:val="center"/>
          </w:tcPr>
          <w:p w14:paraId="1FFABA50"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6"/>
                <w:szCs w:val="16"/>
              </w:rPr>
            </w:pPr>
            <w:r w:rsidRPr="007148BD">
              <w:rPr>
                <w:rFonts w:ascii="Arial" w:hAnsi="Arial" w:cs="Arial"/>
                <w:bCs/>
                <w:color w:val="FFFFFF" w:themeColor="background1"/>
                <w:sz w:val="16"/>
                <w:szCs w:val="16"/>
              </w:rPr>
              <w:t>+38%</w:t>
            </w:r>
          </w:p>
        </w:tc>
        <w:tc>
          <w:tcPr>
            <w:tcW w:w="645" w:type="dxa"/>
            <w:shd w:val="clear" w:color="auto" w:fill="595959" w:themeFill="text1" w:themeFillTint="A6"/>
            <w:vAlign w:val="center"/>
          </w:tcPr>
          <w:p w14:paraId="70CA63CE"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6"/>
                <w:szCs w:val="16"/>
              </w:rPr>
            </w:pPr>
            <w:r w:rsidRPr="007148BD">
              <w:rPr>
                <w:rFonts w:ascii="Arial" w:hAnsi="Arial" w:cs="Arial"/>
                <w:bCs/>
                <w:color w:val="FFFFFF" w:themeColor="background1"/>
                <w:sz w:val="16"/>
                <w:szCs w:val="16"/>
              </w:rPr>
              <w:t>+2%</w:t>
            </w:r>
          </w:p>
        </w:tc>
        <w:tc>
          <w:tcPr>
            <w:tcW w:w="645" w:type="dxa"/>
            <w:shd w:val="clear" w:color="auto" w:fill="595959" w:themeFill="text1" w:themeFillTint="A6"/>
            <w:vAlign w:val="center"/>
          </w:tcPr>
          <w:p w14:paraId="1F63C063"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bCs/>
                <w:color w:val="FFFFFF" w:themeColor="background1"/>
                <w:sz w:val="16"/>
                <w:szCs w:val="16"/>
              </w:rPr>
              <w:t>-1%</w:t>
            </w:r>
          </w:p>
        </w:tc>
        <w:tc>
          <w:tcPr>
            <w:tcW w:w="645" w:type="dxa"/>
            <w:shd w:val="clear" w:color="auto" w:fill="595959" w:themeFill="text1" w:themeFillTint="A6"/>
            <w:vAlign w:val="center"/>
          </w:tcPr>
          <w:p w14:paraId="50D854D4"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-4%</w:t>
            </w:r>
          </w:p>
        </w:tc>
        <w:tc>
          <w:tcPr>
            <w:tcW w:w="652" w:type="dxa"/>
            <w:shd w:val="clear" w:color="auto" w:fill="595959" w:themeFill="text1" w:themeFillTint="A6"/>
            <w:vAlign w:val="center"/>
          </w:tcPr>
          <w:p w14:paraId="163B3211" w14:textId="44A056F3"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6"/>
                <w:szCs w:val="16"/>
              </w:rPr>
            </w:pPr>
            <w:r w:rsidRPr="007148BD">
              <w:rPr>
                <w:rFonts w:ascii="Arial" w:eastAsia="Times New Roman" w:hAnsi="Arial" w:cs="Arial"/>
                <w:color w:val="FFFFFF" w:themeColor="background1"/>
                <w:sz w:val="16"/>
                <w:szCs w:val="16"/>
              </w:rPr>
              <w:t>-3%</w:t>
            </w:r>
          </w:p>
        </w:tc>
        <w:tc>
          <w:tcPr>
            <w:tcW w:w="720" w:type="dxa"/>
            <w:shd w:val="clear" w:color="auto" w:fill="595959" w:themeFill="text1" w:themeFillTint="A6"/>
            <w:vAlign w:val="center"/>
          </w:tcPr>
          <w:p w14:paraId="287077F2" w14:textId="54699AA9"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+1%</w:t>
            </w:r>
          </w:p>
        </w:tc>
        <w:tc>
          <w:tcPr>
            <w:tcW w:w="864" w:type="dxa"/>
            <w:shd w:val="clear" w:color="auto" w:fill="595959" w:themeFill="text1" w:themeFillTint="A6"/>
            <w:vAlign w:val="center"/>
          </w:tcPr>
          <w:p w14:paraId="14949B0B" w14:textId="74DD04D9"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+5.3%</w:t>
            </w:r>
          </w:p>
        </w:tc>
        <w:tc>
          <w:tcPr>
            <w:tcW w:w="772" w:type="dxa"/>
            <w:shd w:val="clear" w:color="auto" w:fill="595959" w:themeFill="text1" w:themeFillTint="A6"/>
            <w:vAlign w:val="center"/>
          </w:tcPr>
          <w:p w14:paraId="240CA866" w14:textId="2195F0D9"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color w:val="FFFFFF" w:themeColor="background1"/>
                <w:sz w:val="16"/>
                <w:szCs w:val="16"/>
              </w:rPr>
              <w:t>+1.4%</w:t>
            </w:r>
          </w:p>
        </w:tc>
        <w:tc>
          <w:tcPr>
            <w:tcW w:w="727" w:type="dxa"/>
            <w:shd w:val="clear" w:color="auto" w:fill="595959" w:themeFill="text1" w:themeFillTint="A6"/>
            <w:vAlign w:val="center"/>
          </w:tcPr>
          <w:p w14:paraId="20DDE7A5" w14:textId="56A1D81D"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color w:val="FFFFFF" w:themeColor="background1"/>
                <w:sz w:val="16"/>
                <w:szCs w:val="16"/>
              </w:rPr>
              <w:t>+0.0%</w:t>
            </w:r>
          </w:p>
        </w:tc>
        <w:tc>
          <w:tcPr>
            <w:tcW w:w="864" w:type="dxa"/>
            <w:shd w:val="clear" w:color="auto" w:fill="595959" w:themeFill="text1" w:themeFillTint="A6"/>
            <w:vAlign w:val="center"/>
          </w:tcPr>
          <w:p w14:paraId="2B476E37" w14:textId="504DF15F"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color w:val="FFFFFF" w:themeColor="background1"/>
                <w:sz w:val="16"/>
                <w:szCs w:val="16"/>
              </w:rPr>
              <w:t>+</w:t>
            </w:r>
            <w:r w:rsidR="00B30A46">
              <w:rPr>
                <w:rFonts w:ascii="Arial" w:hAnsi="Arial" w:cs="Arial"/>
                <w:color w:val="FFFFFF" w:themeColor="background1"/>
                <w:sz w:val="16"/>
                <w:szCs w:val="16"/>
              </w:rPr>
              <w:t>5.1</w:t>
            </w:r>
            <w:r w:rsidRPr="007148BD">
              <w:rPr>
                <w:rFonts w:ascii="Arial" w:hAnsi="Arial" w:cs="Arial"/>
                <w:color w:val="FFFFFF" w:themeColor="background1"/>
                <w:sz w:val="16"/>
                <w:szCs w:val="16"/>
              </w:rPr>
              <w:t>%</w:t>
            </w:r>
          </w:p>
        </w:tc>
        <w:tc>
          <w:tcPr>
            <w:tcW w:w="720" w:type="dxa"/>
            <w:shd w:val="clear" w:color="auto" w:fill="595959" w:themeFill="text1" w:themeFillTint="A6"/>
            <w:vAlign w:val="center"/>
          </w:tcPr>
          <w:p w14:paraId="14A51BC3" w14:textId="67901213" w:rsidR="007A14AA" w:rsidRPr="007148BD" w:rsidRDefault="003F4653"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6"/>
                <w:szCs w:val="16"/>
              </w:rPr>
            </w:pPr>
            <w:r>
              <w:rPr>
                <w:rFonts w:ascii="Arial" w:eastAsia="Times New Roman" w:hAnsi="Arial" w:cs="Arial"/>
                <w:color w:val="FFFFFF" w:themeColor="background1"/>
                <w:sz w:val="16"/>
                <w:szCs w:val="16"/>
              </w:rPr>
              <w:t>$</w:t>
            </w:r>
            <w:r w:rsidR="005966E5">
              <w:rPr>
                <w:rFonts w:ascii="Arial" w:eastAsia="Times New Roman" w:hAnsi="Arial" w:cs="Arial"/>
                <w:color w:val="FFFFFF" w:themeColor="background1"/>
                <w:sz w:val="16"/>
                <w:szCs w:val="16"/>
              </w:rPr>
              <w:t>671</w:t>
            </w:r>
            <w:r w:rsidR="007A14AA" w:rsidRPr="007148BD">
              <w:rPr>
                <w:rFonts w:ascii="Arial" w:eastAsia="Times New Roman" w:hAnsi="Arial" w:cs="Arial"/>
                <w:color w:val="FFFFFF" w:themeColor="background1"/>
                <w:sz w:val="16"/>
                <w:szCs w:val="16"/>
              </w:rPr>
              <w:t>M</w:t>
            </w:r>
          </w:p>
        </w:tc>
        <w:tc>
          <w:tcPr>
            <w:tcW w:w="864" w:type="dxa"/>
            <w:shd w:val="clear" w:color="auto" w:fill="595959" w:themeFill="text1" w:themeFillTint="A6"/>
            <w:vAlign w:val="center"/>
          </w:tcPr>
          <w:p w14:paraId="1D26BEFD" w14:textId="508B0524" w:rsidR="007A14AA" w:rsidRPr="007148BD" w:rsidRDefault="003F4653"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w:t>
            </w:r>
            <w:r w:rsidR="005966E5">
              <w:rPr>
                <w:rFonts w:ascii="Arial" w:hAnsi="Arial" w:cs="Arial"/>
                <w:color w:val="FFFFFF" w:themeColor="background1"/>
                <w:sz w:val="16"/>
                <w:szCs w:val="16"/>
              </w:rPr>
              <w:t>0.2</w:t>
            </w:r>
            <w:r w:rsidR="007A14AA" w:rsidRPr="007148BD">
              <w:rPr>
                <w:rFonts w:ascii="Arial" w:hAnsi="Arial" w:cs="Arial"/>
                <w:color w:val="FFFFFF" w:themeColor="background1"/>
                <w:sz w:val="16"/>
                <w:szCs w:val="16"/>
              </w:rPr>
              <w:t>%</w:t>
            </w:r>
          </w:p>
        </w:tc>
        <w:tc>
          <w:tcPr>
            <w:tcW w:w="893" w:type="dxa"/>
            <w:shd w:val="clear" w:color="auto" w:fill="595959" w:themeFill="text1" w:themeFillTint="A6"/>
            <w:vAlign w:val="center"/>
          </w:tcPr>
          <w:p w14:paraId="7279BDC2" w14:textId="0F0D14A2" w:rsidR="007A14AA" w:rsidRPr="007148BD" w:rsidRDefault="005966E5"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-12.7</w:t>
            </w:r>
            <w:r w:rsidR="007A14AA" w:rsidRPr="007148BD">
              <w:rPr>
                <w:rFonts w:ascii="Arial" w:hAnsi="Arial" w:cs="Arial"/>
                <w:color w:val="FFFFFF" w:themeColor="background1"/>
                <w:sz w:val="16"/>
                <w:szCs w:val="16"/>
              </w:rPr>
              <w:t>%</w:t>
            </w:r>
          </w:p>
        </w:tc>
      </w:tr>
      <w:tr w:rsidR="007A14AA" w:rsidRPr="00FA2F0F" w14:paraId="3EA70345" w14:textId="77777777" w:rsidTr="001E070B">
        <w:trPr>
          <w:trHeight w:val="216"/>
        </w:trPr>
        <w:tc>
          <w:tcPr>
            <w:cnfStyle w:val="001000000000" w:firstRow="0" w:lastRow="0" w:firstColumn="1" w:lastColumn="0" w:oddVBand="0" w:evenVBand="0" w:oddHBand="0" w:evenHBand="0" w:firstRowFirstColumn="0" w:firstRowLastColumn="0" w:lastRowFirstColumn="0" w:lastRowLastColumn="0"/>
            <w:tcW w:w="1156" w:type="dxa"/>
            <w:gridSpan w:val="2"/>
            <w:vAlign w:val="center"/>
          </w:tcPr>
          <w:p w14:paraId="7BA48644" w14:textId="77777777" w:rsidR="007A14AA" w:rsidRPr="007148BD" w:rsidRDefault="007A14AA" w:rsidP="007A14AA">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Shellfish</w:t>
            </w:r>
          </w:p>
        </w:tc>
        <w:tc>
          <w:tcPr>
            <w:tcW w:w="725" w:type="dxa"/>
            <w:vAlign w:val="center"/>
          </w:tcPr>
          <w:p w14:paraId="71BFCBA5"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+42%</w:t>
            </w:r>
          </w:p>
        </w:tc>
        <w:tc>
          <w:tcPr>
            <w:tcW w:w="645" w:type="dxa"/>
            <w:vAlign w:val="center"/>
          </w:tcPr>
          <w:p w14:paraId="65F47D56"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+4%</w:t>
            </w:r>
          </w:p>
        </w:tc>
        <w:tc>
          <w:tcPr>
            <w:tcW w:w="645" w:type="dxa"/>
            <w:vAlign w:val="center"/>
          </w:tcPr>
          <w:p w14:paraId="6F794AF1"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-5%</w:t>
            </w:r>
          </w:p>
        </w:tc>
        <w:tc>
          <w:tcPr>
            <w:tcW w:w="645" w:type="dxa"/>
            <w:vAlign w:val="center"/>
          </w:tcPr>
          <w:p w14:paraId="1B3D05AD"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-6%</w:t>
            </w:r>
          </w:p>
        </w:tc>
        <w:tc>
          <w:tcPr>
            <w:tcW w:w="652" w:type="dxa"/>
            <w:vAlign w:val="center"/>
          </w:tcPr>
          <w:p w14:paraId="0F0F76B9" w14:textId="39873284"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-3%</w:t>
            </w:r>
          </w:p>
        </w:tc>
        <w:tc>
          <w:tcPr>
            <w:tcW w:w="720" w:type="dxa"/>
            <w:vAlign w:val="center"/>
          </w:tcPr>
          <w:p w14:paraId="57131A4F" w14:textId="45D3B741"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+0%</w:t>
            </w:r>
          </w:p>
        </w:tc>
        <w:tc>
          <w:tcPr>
            <w:tcW w:w="864" w:type="dxa"/>
            <w:vAlign w:val="center"/>
          </w:tcPr>
          <w:p w14:paraId="6AE2D8D1" w14:textId="28CF4559"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+5.3%</w:t>
            </w:r>
          </w:p>
        </w:tc>
        <w:tc>
          <w:tcPr>
            <w:tcW w:w="772" w:type="dxa"/>
            <w:vAlign w:val="center"/>
          </w:tcPr>
          <w:p w14:paraId="1BA4CB08" w14:textId="60AD3A71"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+0.2%</w:t>
            </w:r>
          </w:p>
        </w:tc>
        <w:tc>
          <w:tcPr>
            <w:tcW w:w="727" w:type="dxa"/>
            <w:vAlign w:val="center"/>
          </w:tcPr>
          <w:p w14:paraId="01440B90" w14:textId="74F4F26F"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-1.5%</w:t>
            </w:r>
          </w:p>
        </w:tc>
        <w:tc>
          <w:tcPr>
            <w:tcW w:w="864" w:type="dxa"/>
            <w:vAlign w:val="center"/>
          </w:tcPr>
          <w:p w14:paraId="5BADACEB" w14:textId="46A55A69" w:rsidR="007A14AA" w:rsidRPr="007148BD" w:rsidRDefault="00B30A46"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Pr>
                <w:rFonts w:ascii="Arial" w:hAnsi="Arial" w:cs="Arial"/>
                <w:color w:val="000000" w:themeColor="text1"/>
                <w:sz w:val="16"/>
                <w:szCs w:val="16"/>
              </w:rPr>
              <w:t>+4.3</w:t>
            </w:r>
            <w:r w:rsidR="007A14AA" w:rsidRPr="007148BD">
              <w:rPr>
                <w:rFonts w:ascii="Arial" w:hAnsi="Arial" w:cs="Arial"/>
                <w:color w:val="000000" w:themeColor="text1"/>
                <w:sz w:val="16"/>
                <w:szCs w:val="16"/>
              </w:rPr>
              <w:t>%</w:t>
            </w:r>
          </w:p>
        </w:tc>
        <w:tc>
          <w:tcPr>
            <w:tcW w:w="720" w:type="dxa"/>
            <w:vAlign w:val="center"/>
          </w:tcPr>
          <w:p w14:paraId="1C0DA430" w14:textId="3EA7ED96"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eastAsia="Times New Roman" w:hAnsi="Arial" w:cs="Arial"/>
                <w:color w:val="000000" w:themeColor="text1"/>
                <w:sz w:val="16"/>
                <w:szCs w:val="16"/>
              </w:rPr>
              <w:t>$</w:t>
            </w:r>
            <w:r w:rsidR="005966E5">
              <w:rPr>
                <w:rFonts w:ascii="Arial" w:eastAsia="Times New Roman" w:hAnsi="Arial" w:cs="Arial"/>
                <w:color w:val="000000" w:themeColor="text1"/>
                <w:sz w:val="16"/>
                <w:szCs w:val="16"/>
              </w:rPr>
              <w:t>374</w:t>
            </w:r>
            <w:r w:rsidRPr="007148BD">
              <w:rPr>
                <w:rFonts w:ascii="Arial" w:eastAsia="Times New Roman" w:hAnsi="Arial" w:cs="Arial"/>
                <w:color w:val="000000" w:themeColor="text1"/>
                <w:sz w:val="16"/>
                <w:szCs w:val="16"/>
              </w:rPr>
              <w:t>M</w:t>
            </w:r>
          </w:p>
        </w:tc>
        <w:tc>
          <w:tcPr>
            <w:tcW w:w="864" w:type="dxa"/>
            <w:vAlign w:val="center"/>
          </w:tcPr>
          <w:p w14:paraId="52607458" w14:textId="01697296" w:rsidR="007A14AA" w:rsidRPr="007148BD" w:rsidRDefault="005966E5"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-1.1</w:t>
            </w:r>
            <w:r w:rsidR="007A14AA" w:rsidRPr="007148BD">
              <w:rPr>
                <w:rFonts w:ascii="Arial" w:hAnsi="Arial" w:cs="Arial"/>
                <w:color w:val="000000" w:themeColor="text1"/>
                <w:sz w:val="16"/>
                <w:szCs w:val="16"/>
              </w:rPr>
              <w:t>%</w:t>
            </w:r>
          </w:p>
        </w:tc>
        <w:tc>
          <w:tcPr>
            <w:tcW w:w="893" w:type="dxa"/>
            <w:vAlign w:val="center"/>
          </w:tcPr>
          <w:p w14:paraId="595C2291" w14:textId="5A43496D"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5966E5">
              <w:rPr>
                <w:rFonts w:ascii="Arial" w:hAnsi="Arial" w:cs="Arial"/>
                <w:color w:val="000000" w:themeColor="text1"/>
                <w:sz w:val="16"/>
                <w:szCs w:val="16"/>
              </w:rPr>
              <w:t>17.1</w:t>
            </w:r>
            <w:r w:rsidRPr="007148BD">
              <w:rPr>
                <w:rFonts w:ascii="Arial" w:hAnsi="Arial" w:cs="Arial"/>
                <w:color w:val="000000" w:themeColor="text1"/>
                <w:sz w:val="16"/>
                <w:szCs w:val="16"/>
              </w:rPr>
              <w:t>%</w:t>
            </w:r>
          </w:p>
        </w:tc>
      </w:tr>
      <w:tr w:rsidR="007A14AA" w:rsidRPr="00FA2F0F" w14:paraId="5735DC78" w14:textId="77777777" w:rsidTr="001E070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D9D9D9" w:themeFill="background1" w:themeFillShade="D9"/>
            <w:vAlign w:val="center"/>
          </w:tcPr>
          <w:p w14:paraId="28354BCE" w14:textId="77777777" w:rsidR="007A14AA" w:rsidRPr="007148BD" w:rsidRDefault="007A14AA" w:rsidP="007A14AA">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Finfish</w:t>
            </w:r>
          </w:p>
        </w:tc>
        <w:tc>
          <w:tcPr>
            <w:tcW w:w="725" w:type="dxa"/>
            <w:shd w:val="clear" w:color="auto" w:fill="D9D9D9" w:themeFill="background1" w:themeFillShade="D9"/>
            <w:vAlign w:val="center"/>
          </w:tcPr>
          <w:p w14:paraId="1FA9DA3B"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+32%</w:t>
            </w:r>
          </w:p>
        </w:tc>
        <w:tc>
          <w:tcPr>
            <w:tcW w:w="645" w:type="dxa"/>
            <w:shd w:val="clear" w:color="auto" w:fill="D9D9D9" w:themeFill="background1" w:themeFillShade="D9"/>
            <w:vAlign w:val="center"/>
          </w:tcPr>
          <w:p w14:paraId="5225CC58"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-1%</w:t>
            </w:r>
          </w:p>
        </w:tc>
        <w:tc>
          <w:tcPr>
            <w:tcW w:w="645" w:type="dxa"/>
            <w:shd w:val="clear" w:color="auto" w:fill="D9D9D9" w:themeFill="background1" w:themeFillShade="D9"/>
            <w:vAlign w:val="center"/>
          </w:tcPr>
          <w:p w14:paraId="0F1D2DAE"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+7%</w:t>
            </w:r>
          </w:p>
        </w:tc>
        <w:tc>
          <w:tcPr>
            <w:tcW w:w="645" w:type="dxa"/>
            <w:shd w:val="clear" w:color="auto" w:fill="D9D9D9" w:themeFill="background1" w:themeFillShade="D9"/>
            <w:vAlign w:val="center"/>
          </w:tcPr>
          <w:p w14:paraId="6D6E1A4A"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-2%</w:t>
            </w:r>
          </w:p>
        </w:tc>
        <w:tc>
          <w:tcPr>
            <w:tcW w:w="652" w:type="dxa"/>
            <w:shd w:val="clear" w:color="auto" w:fill="D9D9D9" w:themeFill="background1" w:themeFillShade="D9"/>
            <w:vAlign w:val="center"/>
          </w:tcPr>
          <w:p w14:paraId="33F37DEC" w14:textId="17077BE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-1%</w:t>
            </w:r>
          </w:p>
        </w:tc>
        <w:tc>
          <w:tcPr>
            <w:tcW w:w="720" w:type="dxa"/>
            <w:shd w:val="clear" w:color="auto" w:fill="D9D9D9" w:themeFill="background1" w:themeFillShade="D9"/>
            <w:vAlign w:val="center"/>
          </w:tcPr>
          <w:p w14:paraId="7FBAA824" w14:textId="76DF0023"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+3%</w:t>
            </w:r>
          </w:p>
        </w:tc>
        <w:tc>
          <w:tcPr>
            <w:tcW w:w="864" w:type="dxa"/>
            <w:shd w:val="clear" w:color="auto" w:fill="D9D9D9" w:themeFill="background1" w:themeFillShade="D9"/>
            <w:vAlign w:val="center"/>
          </w:tcPr>
          <w:p w14:paraId="134C3E9A" w14:textId="12157E01"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+5.6%</w:t>
            </w:r>
          </w:p>
        </w:tc>
        <w:tc>
          <w:tcPr>
            <w:tcW w:w="772" w:type="dxa"/>
            <w:shd w:val="clear" w:color="auto" w:fill="D9D9D9" w:themeFill="background1" w:themeFillShade="D9"/>
            <w:vAlign w:val="center"/>
          </w:tcPr>
          <w:p w14:paraId="6F0A5A28" w14:textId="68BD5ABE"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+3.3%</w:t>
            </w:r>
          </w:p>
        </w:tc>
        <w:tc>
          <w:tcPr>
            <w:tcW w:w="727" w:type="dxa"/>
            <w:shd w:val="clear" w:color="auto" w:fill="D9D9D9" w:themeFill="background1" w:themeFillShade="D9"/>
            <w:vAlign w:val="center"/>
          </w:tcPr>
          <w:p w14:paraId="7DC878A3" w14:textId="4CDE7CE6"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+3.6%</w:t>
            </w:r>
          </w:p>
        </w:tc>
        <w:tc>
          <w:tcPr>
            <w:tcW w:w="864" w:type="dxa"/>
            <w:shd w:val="clear" w:color="auto" w:fill="D9D9D9" w:themeFill="background1" w:themeFillShade="D9"/>
            <w:vAlign w:val="center"/>
          </w:tcPr>
          <w:p w14:paraId="26EA50F6" w14:textId="58AC1199"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w:t>
            </w:r>
            <w:r w:rsidR="00B30A46">
              <w:rPr>
                <w:rFonts w:ascii="Arial" w:hAnsi="Arial" w:cs="Arial"/>
                <w:color w:val="000000" w:themeColor="text1"/>
                <w:sz w:val="16"/>
                <w:szCs w:val="16"/>
              </w:rPr>
              <w:t>7.1</w:t>
            </w:r>
            <w:r w:rsidRPr="007148BD">
              <w:rPr>
                <w:rFonts w:ascii="Arial" w:hAnsi="Arial" w:cs="Arial"/>
                <w:color w:val="000000" w:themeColor="text1"/>
                <w:sz w:val="16"/>
                <w:szCs w:val="16"/>
              </w:rPr>
              <w:t>%</w:t>
            </w:r>
          </w:p>
        </w:tc>
        <w:tc>
          <w:tcPr>
            <w:tcW w:w="720" w:type="dxa"/>
            <w:shd w:val="clear" w:color="auto" w:fill="D9D9D9" w:themeFill="background1" w:themeFillShade="D9"/>
            <w:vAlign w:val="center"/>
          </w:tcPr>
          <w:p w14:paraId="7B31A3EB" w14:textId="121BB6BE"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Pr>
                <w:rFonts w:ascii="Arial" w:eastAsia="Times New Roman" w:hAnsi="Arial" w:cs="Arial"/>
                <w:color w:val="000000" w:themeColor="text1"/>
                <w:sz w:val="16"/>
                <w:szCs w:val="16"/>
              </w:rPr>
              <w:t>$</w:t>
            </w:r>
            <w:r w:rsidR="005966E5">
              <w:rPr>
                <w:rFonts w:ascii="Arial" w:eastAsia="Times New Roman" w:hAnsi="Arial" w:cs="Arial"/>
                <w:color w:val="000000" w:themeColor="text1"/>
                <w:sz w:val="16"/>
                <w:szCs w:val="16"/>
              </w:rPr>
              <w:t>278</w:t>
            </w:r>
            <w:r w:rsidRPr="007148BD">
              <w:rPr>
                <w:rFonts w:ascii="Arial" w:eastAsia="Times New Roman" w:hAnsi="Arial" w:cs="Arial"/>
                <w:color w:val="000000" w:themeColor="text1"/>
                <w:sz w:val="16"/>
                <w:szCs w:val="16"/>
              </w:rPr>
              <w:t>M</w:t>
            </w:r>
          </w:p>
        </w:tc>
        <w:tc>
          <w:tcPr>
            <w:tcW w:w="864" w:type="dxa"/>
            <w:shd w:val="clear" w:color="auto" w:fill="D9D9D9" w:themeFill="background1" w:themeFillShade="D9"/>
            <w:vAlign w:val="center"/>
          </w:tcPr>
          <w:p w14:paraId="3A6A6416" w14:textId="41E1D64A" w:rsidR="007A14AA" w:rsidRPr="007148BD" w:rsidRDefault="005966E5"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+2.3</w:t>
            </w:r>
            <w:r w:rsidR="007A14AA" w:rsidRPr="007148BD">
              <w:rPr>
                <w:rFonts w:ascii="Arial" w:hAnsi="Arial" w:cs="Arial"/>
                <w:color w:val="000000" w:themeColor="text1"/>
                <w:sz w:val="16"/>
                <w:szCs w:val="16"/>
              </w:rPr>
              <w:t>%</w:t>
            </w:r>
          </w:p>
        </w:tc>
        <w:tc>
          <w:tcPr>
            <w:tcW w:w="893" w:type="dxa"/>
            <w:shd w:val="clear" w:color="auto" w:fill="D9D9D9" w:themeFill="background1" w:themeFillShade="D9"/>
            <w:vAlign w:val="center"/>
          </w:tcPr>
          <w:p w14:paraId="1E8E6142" w14:textId="0433B8AE" w:rsidR="007A14AA" w:rsidRPr="007148BD" w:rsidRDefault="003F4653"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5966E5">
              <w:rPr>
                <w:rFonts w:ascii="Arial" w:hAnsi="Arial" w:cs="Arial"/>
                <w:color w:val="000000" w:themeColor="text1"/>
                <w:sz w:val="16"/>
                <w:szCs w:val="16"/>
              </w:rPr>
              <w:t>7.7</w:t>
            </w:r>
            <w:r w:rsidR="007A14AA" w:rsidRPr="007148BD">
              <w:rPr>
                <w:rFonts w:ascii="Arial" w:hAnsi="Arial" w:cs="Arial"/>
                <w:color w:val="000000" w:themeColor="text1"/>
                <w:sz w:val="16"/>
                <w:szCs w:val="16"/>
              </w:rPr>
              <w:t>%</w:t>
            </w:r>
          </w:p>
        </w:tc>
      </w:tr>
      <w:tr w:rsidR="007A14AA" w:rsidRPr="00FA2F0F" w14:paraId="0F5C9896" w14:textId="77777777" w:rsidTr="007148BD">
        <w:trPr>
          <w:trHeight w:val="19"/>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D9D9D9" w:themeFill="background1" w:themeFillShade="D9"/>
            <w:vAlign w:val="center"/>
          </w:tcPr>
          <w:p w14:paraId="24C64C88" w14:textId="77777777" w:rsidR="007A14AA" w:rsidRPr="007148BD" w:rsidRDefault="007A14AA" w:rsidP="007A14AA">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Seafood alternatives</w:t>
            </w:r>
          </w:p>
        </w:tc>
        <w:tc>
          <w:tcPr>
            <w:tcW w:w="725" w:type="dxa"/>
            <w:shd w:val="clear" w:color="auto" w:fill="D9D9D9" w:themeFill="background1" w:themeFillShade="D9"/>
            <w:vAlign w:val="center"/>
          </w:tcPr>
          <w:p w14:paraId="6672C75C"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+22%</w:t>
            </w:r>
          </w:p>
        </w:tc>
        <w:tc>
          <w:tcPr>
            <w:tcW w:w="645" w:type="dxa"/>
            <w:shd w:val="clear" w:color="auto" w:fill="D9D9D9" w:themeFill="background1" w:themeFillShade="D9"/>
            <w:vAlign w:val="center"/>
          </w:tcPr>
          <w:p w14:paraId="5C56F8F9"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+19%</w:t>
            </w:r>
          </w:p>
        </w:tc>
        <w:tc>
          <w:tcPr>
            <w:tcW w:w="645" w:type="dxa"/>
            <w:shd w:val="clear" w:color="auto" w:fill="D9D9D9" w:themeFill="background1" w:themeFillShade="D9"/>
            <w:vAlign w:val="center"/>
          </w:tcPr>
          <w:p w14:paraId="0F9A5F85"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+16%</w:t>
            </w:r>
          </w:p>
        </w:tc>
        <w:tc>
          <w:tcPr>
            <w:tcW w:w="645" w:type="dxa"/>
            <w:shd w:val="clear" w:color="auto" w:fill="D9D9D9" w:themeFill="background1" w:themeFillShade="D9"/>
            <w:vAlign w:val="center"/>
          </w:tcPr>
          <w:p w14:paraId="304F3CD8"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-15%</w:t>
            </w:r>
          </w:p>
        </w:tc>
        <w:tc>
          <w:tcPr>
            <w:tcW w:w="652" w:type="dxa"/>
            <w:shd w:val="clear" w:color="auto" w:fill="D9D9D9" w:themeFill="background1" w:themeFillShade="D9"/>
            <w:vAlign w:val="center"/>
          </w:tcPr>
          <w:p w14:paraId="6ADE07E7" w14:textId="06C9BF91"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-5%</w:t>
            </w:r>
          </w:p>
        </w:tc>
        <w:tc>
          <w:tcPr>
            <w:tcW w:w="720" w:type="dxa"/>
            <w:shd w:val="clear" w:color="auto" w:fill="D9D9D9" w:themeFill="background1" w:themeFillShade="D9"/>
            <w:vAlign w:val="center"/>
          </w:tcPr>
          <w:p w14:paraId="19D9063C" w14:textId="1DA8944B"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-7%</w:t>
            </w:r>
          </w:p>
        </w:tc>
        <w:tc>
          <w:tcPr>
            <w:tcW w:w="864" w:type="dxa"/>
            <w:shd w:val="clear" w:color="auto" w:fill="D9D9D9" w:themeFill="background1" w:themeFillShade="D9"/>
            <w:vAlign w:val="center"/>
          </w:tcPr>
          <w:p w14:paraId="3F52D29E" w14:textId="24B2992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-10.6%</w:t>
            </w:r>
          </w:p>
        </w:tc>
        <w:tc>
          <w:tcPr>
            <w:tcW w:w="772" w:type="dxa"/>
            <w:shd w:val="clear" w:color="auto" w:fill="D9D9D9" w:themeFill="background1" w:themeFillShade="D9"/>
            <w:vAlign w:val="center"/>
          </w:tcPr>
          <w:p w14:paraId="6766D1AF" w14:textId="08EEAF5A"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-2.7%</w:t>
            </w:r>
          </w:p>
        </w:tc>
        <w:tc>
          <w:tcPr>
            <w:tcW w:w="727" w:type="dxa"/>
            <w:shd w:val="clear" w:color="auto" w:fill="D9D9D9" w:themeFill="background1" w:themeFillShade="D9"/>
            <w:vAlign w:val="center"/>
          </w:tcPr>
          <w:p w14:paraId="63B6A2FD" w14:textId="21E9C550"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-12.6%</w:t>
            </w:r>
          </w:p>
        </w:tc>
        <w:tc>
          <w:tcPr>
            <w:tcW w:w="864" w:type="dxa"/>
            <w:shd w:val="clear" w:color="auto" w:fill="D9D9D9" w:themeFill="background1" w:themeFillShade="D9"/>
            <w:vAlign w:val="center"/>
          </w:tcPr>
          <w:p w14:paraId="160128D4" w14:textId="0064008D"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-1</w:t>
            </w:r>
            <w:r w:rsidR="00B30A46">
              <w:rPr>
                <w:rFonts w:ascii="Arial" w:hAnsi="Arial" w:cs="Arial"/>
                <w:color w:val="000000" w:themeColor="text1"/>
                <w:sz w:val="16"/>
                <w:szCs w:val="16"/>
              </w:rPr>
              <w:t>3.3</w:t>
            </w:r>
            <w:r w:rsidRPr="007148BD">
              <w:rPr>
                <w:rFonts w:ascii="Arial" w:hAnsi="Arial" w:cs="Arial"/>
                <w:color w:val="000000" w:themeColor="text1"/>
                <w:sz w:val="16"/>
                <w:szCs w:val="16"/>
              </w:rPr>
              <w:t>%</w:t>
            </w:r>
          </w:p>
        </w:tc>
        <w:tc>
          <w:tcPr>
            <w:tcW w:w="720" w:type="dxa"/>
            <w:shd w:val="clear" w:color="auto" w:fill="D9D9D9" w:themeFill="background1" w:themeFillShade="D9"/>
            <w:vAlign w:val="center"/>
          </w:tcPr>
          <w:p w14:paraId="6E87220E" w14:textId="688AFDC1"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eastAsia="Times New Roman" w:hAnsi="Arial" w:cs="Arial"/>
                <w:color w:val="000000" w:themeColor="text1"/>
                <w:sz w:val="16"/>
                <w:szCs w:val="16"/>
              </w:rPr>
              <w:t>$</w:t>
            </w:r>
            <w:r w:rsidR="005966E5">
              <w:rPr>
                <w:rFonts w:ascii="Arial" w:eastAsia="Times New Roman" w:hAnsi="Arial" w:cs="Arial"/>
                <w:color w:val="000000" w:themeColor="text1"/>
                <w:sz w:val="16"/>
                <w:szCs w:val="16"/>
              </w:rPr>
              <w:t>0.6</w:t>
            </w:r>
            <w:r w:rsidR="00B30A46">
              <w:rPr>
                <w:rFonts w:ascii="Arial" w:eastAsia="Times New Roman" w:hAnsi="Arial" w:cs="Arial"/>
                <w:color w:val="000000" w:themeColor="text1"/>
                <w:sz w:val="16"/>
                <w:szCs w:val="16"/>
              </w:rPr>
              <w:t>M</w:t>
            </w:r>
          </w:p>
        </w:tc>
        <w:tc>
          <w:tcPr>
            <w:tcW w:w="864" w:type="dxa"/>
            <w:shd w:val="clear" w:color="auto" w:fill="D9D9D9" w:themeFill="background1" w:themeFillShade="D9"/>
            <w:vAlign w:val="center"/>
          </w:tcPr>
          <w:p w14:paraId="51325A1D" w14:textId="6E26ED42"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5966E5">
              <w:rPr>
                <w:rFonts w:ascii="Arial" w:hAnsi="Arial" w:cs="Arial"/>
                <w:color w:val="000000" w:themeColor="text1"/>
                <w:sz w:val="16"/>
                <w:szCs w:val="16"/>
              </w:rPr>
              <w:t>15.1</w:t>
            </w:r>
            <w:r w:rsidRPr="007148BD">
              <w:rPr>
                <w:rFonts w:ascii="Arial" w:hAnsi="Arial" w:cs="Arial"/>
                <w:color w:val="000000" w:themeColor="text1"/>
                <w:sz w:val="16"/>
                <w:szCs w:val="16"/>
              </w:rPr>
              <w:t>%</w:t>
            </w:r>
          </w:p>
        </w:tc>
        <w:tc>
          <w:tcPr>
            <w:tcW w:w="893" w:type="dxa"/>
            <w:shd w:val="clear" w:color="auto" w:fill="D9D9D9" w:themeFill="background1" w:themeFillShade="D9"/>
            <w:vAlign w:val="center"/>
          </w:tcPr>
          <w:p w14:paraId="13B7DB16" w14:textId="66B034B2" w:rsidR="007A14AA" w:rsidRPr="007148BD" w:rsidRDefault="003F4653"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5966E5">
              <w:rPr>
                <w:rFonts w:ascii="Arial" w:hAnsi="Arial" w:cs="Arial"/>
                <w:color w:val="000000" w:themeColor="text1"/>
                <w:sz w:val="16"/>
                <w:szCs w:val="16"/>
              </w:rPr>
              <w:t>13.0</w:t>
            </w:r>
            <w:r w:rsidR="007A14AA" w:rsidRPr="007148BD">
              <w:rPr>
                <w:rFonts w:ascii="Arial" w:hAnsi="Arial" w:cs="Arial"/>
                <w:color w:val="000000" w:themeColor="text1"/>
                <w:sz w:val="16"/>
                <w:szCs w:val="16"/>
              </w:rPr>
              <w:t>%</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336BB76C" w14:textId="4EBF27B6" w:rsidR="00BE7E48" w:rsidRDefault="007C4ED5" w:rsidP="004970F6">
      <w:pPr>
        <w:pStyle w:val="NoSpacing"/>
        <w:rPr>
          <w:rFonts w:ascii="Arial" w:hAnsi="Arial" w:cs="Arial"/>
          <w:b/>
          <w:bCs/>
          <w:color w:val="00857C"/>
        </w:rPr>
      </w:pPr>
      <w:r w:rsidRPr="000A6F81">
        <w:rPr>
          <w:rFonts w:ascii="Arial" w:hAnsi="Arial" w:cs="Arial"/>
          <w:color w:val="7F7F7F" w:themeColor="text1" w:themeTint="80"/>
          <w:sz w:val="16"/>
          <w:szCs w:val="14"/>
        </w:rPr>
        <w:t>Source: Circana, Integrated Fresh, Total US, MULO+</w:t>
      </w:r>
    </w:p>
    <w:p w14:paraId="23701A0D" w14:textId="77777777" w:rsidR="00637392" w:rsidRDefault="00637392" w:rsidP="004970F6">
      <w:pPr>
        <w:pStyle w:val="NoSpacing"/>
        <w:rPr>
          <w:rFonts w:ascii="Arial" w:hAnsi="Arial" w:cs="Arial"/>
          <w:b/>
          <w:bCs/>
          <w:color w:val="00857C"/>
        </w:rPr>
      </w:pPr>
    </w:p>
    <w:p w14:paraId="7A8EA595" w14:textId="2E4B8D15" w:rsidR="00F7176E" w:rsidRPr="00C24355" w:rsidRDefault="00E5115C" w:rsidP="004970F6">
      <w:pPr>
        <w:pStyle w:val="NoSpacing"/>
        <w:rPr>
          <w:rFonts w:ascii="Arial" w:hAnsi="Arial" w:cs="Arial"/>
          <w:b/>
          <w:bCs/>
          <w:color w:val="00857C"/>
        </w:rPr>
      </w:pPr>
      <w:r w:rsidRPr="00C24355">
        <w:rPr>
          <w:rFonts w:ascii="Arial" w:hAnsi="Arial" w:cs="Arial"/>
          <w:b/>
          <w:bCs/>
          <w:color w:val="00857C"/>
        </w:rPr>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235CE39F" w14:textId="3DC35393" w:rsidR="00637392" w:rsidRDefault="000D2728" w:rsidP="00CB097D">
      <w:pPr>
        <w:pStyle w:val="NoSpacing"/>
        <w:rPr>
          <w:rFonts w:ascii="Arial" w:hAnsi="Arial" w:cs="Arial"/>
          <w:color w:val="000000" w:themeColor="text1"/>
          <w:sz w:val="20"/>
          <w:szCs w:val="20"/>
        </w:rPr>
      </w:pPr>
      <w:r>
        <w:rPr>
          <w:rFonts w:ascii="Arial" w:hAnsi="Arial" w:cs="Arial"/>
          <w:color w:val="000000" w:themeColor="text1"/>
          <w:sz w:val="20"/>
          <w:szCs w:val="20"/>
        </w:rPr>
        <w:t xml:space="preserve">While shrimp dominated </w:t>
      </w:r>
      <w:r w:rsidR="003F4653">
        <w:rPr>
          <w:rFonts w:ascii="Arial" w:hAnsi="Arial" w:cs="Arial"/>
          <w:color w:val="000000" w:themeColor="text1"/>
          <w:sz w:val="20"/>
          <w:szCs w:val="20"/>
        </w:rPr>
        <w:t>April</w:t>
      </w:r>
      <w:r>
        <w:rPr>
          <w:rFonts w:ascii="Arial" w:hAnsi="Arial" w:cs="Arial"/>
          <w:color w:val="000000" w:themeColor="text1"/>
          <w:sz w:val="20"/>
          <w:szCs w:val="20"/>
        </w:rPr>
        <w:t xml:space="preserve"> frozen seafood sales, pound sales fell by double digits. </w:t>
      </w:r>
      <w:r w:rsidR="003358F9">
        <w:rPr>
          <w:rFonts w:ascii="Arial" w:hAnsi="Arial" w:cs="Arial"/>
          <w:color w:val="000000" w:themeColor="text1"/>
          <w:sz w:val="20"/>
          <w:szCs w:val="20"/>
        </w:rPr>
        <w:t xml:space="preserve">Salmon </w:t>
      </w:r>
      <w:r>
        <w:rPr>
          <w:rFonts w:ascii="Arial" w:hAnsi="Arial" w:cs="Arial"/>
          <w:color w:val="000000" w:themeColor="text1"/>
          <w:sz w:val="20"/>
          <w:szCs w:val="20"/>
        </w:rPr>
        <w:t xml:space="preserve">was the only one of the bigger species to show pound growth, </w:t>
      </w:r>
      <w:r w:rsidR="003358F9">
        <w:rPr>
          <w:rFonts w:ascii="Arial" w:hAnsi="Arial" w:cs="Arial"/>
          <w:color w:val="000000" w:themeColor="text1"/>
          <w:sz w:val="20"/>
          <w:szCs w:val="20"/>
        </w:rPr>
        <w:t xml:space="preserve">and crab </w:t>
      </w:r>
      <w:r>
        <w:rPr>
          <w:rFonts w:ascii="Arial" w:hAnsi="Arial" w:cs="Arial"/>
          <w:color w:val="000000" w:themeColor="text1"/>
          <w:sz w:val="20"/>
          <w:szCs w:val="20"/>
        </w:rPr>
        <w:t xml:space="preserve">remained close to year-ago levels. </w:t>
      </w:r>
    </w:p>
    <w:p w14:paraId="0563FEE8" w14:textId="77777777" w:rsidR="00600D3C" w:rsidRDefault="00600D3C" w:rsidP="00CB097D">
      <w:pPr>
        <w:pStyle w:val="NoSpacing"/>
        <w:rPr>
          <w:rFonts w:ascii="Arial" w:hAnsi="Arial" w:cs="Arial"/>
          <w:color w:val="000000" w:themeColor="text1"/>
          <w:sz w:val="20"/>
          <w:szCs w:val="20"/>
        </w:rPr>
      </w:pPr>
    </w:p>
    <w:tbl>
      <w:tblPr>
        <w:tblStyle w:val="ListTable2"/>
        <w:tblW w:w="10620" w:type="dxa"/>
        <w:tblLayout w:type="fixed"/>
        <w:tblLook w:val="04A0" w:firstRow="1" w:lastRow="0" w:firstColumn="1" w:lastColumn="0" w:noHBand="0" w:noVBand="1"/>
      </w:tblPr>
      <w:tblGrid>
        <w:gridCol w:w="2070"/>
        <w:gridCol w:w="1455"/>
        <w:gridCol w:w="1455"/>
        <w:gridCol w:w="1500"/>
        <w:gridCol w:w="1410"/>
        <w:gridCol w:w="1290"/>
        <w:gridCol w:w="1440"/>
      </w:tblGrid>
      <w:tr w:rsidR="00C75C35" w:rsidRPr="00A80540" w14:paraId="74E8430C" w14:textId="77777777" w:rsidTr="000D272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7AB07534" w14:textId="59460436" w:rsidR="00C75C35" w:rsidRPr="00A80540" w:rsidRDefault="00C75C35" w:rsidP="00C75C35">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3"/>
            <w:shd w:val="clear" w:color="auto" w:fill="17365D" w:themeFill="text2" w:themeFillShade="BF"/>
          </w:tcPr>
          <w:p w14:paraId="5E8D3EC1" w14:textId="525BE0A0" w:rsidR="00C75C35" w:rsidRPr="00A80540" w:rsidRDefault="003F4653"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April</w:t>
            </w:r>
            <w:r w:rsidR="00F34BCF">
              <w:rPr>
                <w:rFonts w:ascii="Arial" w:hAnsi="Arial" w:cs="Arial"/>
                <w:color w:val="FFFFFF" w:themeColor="background1"/>
                <w:sz w:val="18"/>
                <w:szCs w:val="18"/>
              </w:rPr>
              <w:t xml:space="preserve"> </w:t>
            </w:r>
            <w:r w:rsidR="006A6067">
              <w:rPr>
                <w:rFonts w:ascii="Arial" w:hAnsi="Arial" w:cs="Arial"/>
                <w:color w:val="FFFFFF" w:themeColor="background1"/>
                <w:sz w:val="18"/>
                <w:szCs w:val="18"/>
              </w:rPr>
              <w:t>2026</w:t>
            </w:r>
          </w:p>
        </w:tc>
        <w:tc>
          <w:tcPr>
            <w:tcW w:w="4140" w:type="dxa"/>
            <w:gridSpan w:val="3"/>
            <w:shd w:val="clear" w:color="auto" w:fill="17365D" w:themeFill="text2" w:themeFillShade="BF"/>
          </w:tcPr>
          <w:p w14:paraId="6BAD5D7C" w14:textId="3C4CB95B"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0D27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shd w:val="clear" w:color="auto" w:fill="17365D" w:themeFill="text2" w:themeFillShade="BF"/>
          </w:tcPr>
          <w:p w14:paraId="61C3A6E3" w14:textId="77777777" w:rsidR="00216044" w:rsidRPr="00A80540" w:rsidRDefault="00216044"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shd w:val="clear" w:color="auto" w:fill="17365D" w:themeFill="text2" w:themeFillShade="BF"/>
          </w:tcPr>
          <w:p w14:paraId="29E6391E" w14:textId="77777777" w:rsidR="00216044" w:rsidRPr="00A80540" w:rsidRDefault="00216044"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500" w:type="dxa"/>
            <w:shd w:val="clear" w:color="auto" w:fill="17365D" w:themeFill="text2" w:themeFillShade="BF"/>
          </w:tcPr>
          <w:p w14:paraId="002A07E6" w14:textId="77777777" w:rsidR="00216044" w:rsidRPr="00A80540" w:rsidRDefault="00216044" w:rsidP="0065150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10" w:type="dxa"/>
            <w:shd w:val="clear" w:color="auto" w:fill="17365D" w:themeFill="text2" w:themeFillShade="BF"/>
          </w:tcPr>
          <w:p w14:paraId="5A8C9BCC" w14:textId="77777777" w:rsidR="00216044" w:rsidRPr="00A80540" w:rsidRDefault="00216044" w:rsidP="0065150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shd w:val="clear" w:color="auto" w:fill="17365D" w:themeFill="text2" w:themeFillShade="BF"/>
          </w:tcPr>
          <w:p w14:paraId="5F41C6DC" w14:textId="77777777" w:rsidR="00216044" w:rsidRPr="00A80540" w:rsidRDefault="00216044" w:rsidP="0065150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shd w:val="clear" w:color="auto" w:fill="17365D" w:themeFill="text2" w:themeFillShade="BF"/>
          </w:tcPr>
          <w:p w14:paraId="7976D962" w14:textId="77777777" w:rsidR="00216044" w:rsidRPr="00A80540" w:rsidRDefault="00216044" w:rsidP="0065150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F616DF" w:rsidRPr="00FA2F0F" w14:paraId="582E83F8" w14:textId="77777777" w:rsidTr="00325600">
        <w:trPr>
          <w:trHeight w:val="2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0129673" w14:textId="53B62045" w:rsidR="00F616DF" w:rsidRPr="00103FB9" w:rsidRDefault="00F616DF" w:rsidP="00F616DF">
            <w:pPr>
              <w:pStyle w:val="NoSpacing"/>
              <w:rPr>
                <w:rFonts w:ascii="Arial" w:hAnsi="Arial" w:cs="Arial"/>
                <w:b w:val="0"/>
                <w:bCs w:val="0"/>
                <w:color w:val="000000" w:themeColor="text1"/>
                <w:sz w:val="18"/>
                <w:szCs w:val="18"/>
              </w:rPr>
            </w:pPr>
            <w:r w:rsidRPr="00103FB9">
              <w:rPr>
                <w:rFonts w:ascii="Arial" w:eastAsia="Times New Roman" w:hAnsi="Arial" w:cs="Arial"/>
                <w:b w:val="0"/>
                <w:color w:val="000000" w:themeColor="text1"/>
                <w:sz w:val="18"/>
                <w:szCs w:val="18"/>
              </w:rPr>
              <w:t>Frozen shrimp</w:t>
            </w:r>
          </w:p>
        </w:tc>
        <w:tc>
          <w:tcPr>
            <w:tcW w:w="1455" w:type="dxa"/>
          </w:tcPr>
          <w:p w14:paraId="34226FF4" w14:textId="027BF3DC" w:rsidR="00F616DF" w:rsidRPr="00103FB9"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C5897">
              <w:rPr>
                <w:rFonts w:ascii="Arial" w:eastAsia="Times New Roman" w:hAnsi="Arial" w:cs="Arial"/>
                <w:color w:val="000000" w:themeColor="text1"/>
                <w:sz w:val="18"/>
                <w:szCs w:val="18"/>
              </w:rPr>
              <w:t>$</w:t>
            </w:r>
            <w:r w:rsidR="005966E5">
              <w:rPr>
                <w:rFonts w:ascii="Arial" w:eastAsia="Times New Roman" w:hAnsi="Arial" w:cs="Arial"/>
                <w:color w:val="000000" w:themeColor="text1"/>
                <w:sz w:val="18"/>
                <w:szCs w:val="18"/>
              </w:rPr>
              <w:t>318.4</w:t>
            </w:r>
            <w:r w:rsidRPr="001C5897">
              <w:rPr>
                <w:rFonts w:ascii="Arial" w:eastAsia="Times New Roman" w:hAnsi="Arial" w:cs="Arial"/>
                <w:color w:val="000000" w:themeColor="text1"/>
                <w:sz w:val="18"/>
                <w:szCs w:val="18"/>
              </w:rPr>
              <w:t>M</w:t>
            </w:r>
          </w:p>
        </w:tc>
        <w:tc>
          <w:tcPr>
            <w:tcW w:w="1455" w:type="dxa"/>
            <w:vAlign w:val="center"/>
          </w:tcPr>
          <w:p w14:paraId="282DA3A2" w14:textId="7C079D83" w:rsidR="00F616DF" w:rsidRPr="00103FB9"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0.9</w:t>
            </w:r>
            <w:r w:rsidRPr="00103FB9">
              <w:rPr>
                <w:rFonts w:ascii="Arial" w:hAnsi="Arial" w:cs="Arial"/>
                <w:color w:val="000000"/>
                <w:sz w:val="18"/>
                <w:szCs w:val="18"/>
              </w:rPr>
              <w:t>%</w:t>
            </w:r>
          </w:p>
        </w:tc>
        <w:tc>
          <w:tcPr>
            <w:tcW w:w="1500" w:type="dxa"/>
          </w:tcPr>
          <w:p w14:paraId="79EB35F8" w14:textId="6E490B4D" w:rsidR="00F616DF" w:rsidRPr="00103FB9"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F7922">
              <w:rPr>
                <w:rFonts w:ascii="Arial" w:hAnsi="Arial" w:cs="Arial"/>
                <w:color w:val="000000"/>
                <w:sz w:val="18"/>
                <w:szCs w:val="18"/>
              </w:rPr>
              <w:t>-</w:t>
            </w:r>
            <w:r w:rsidR="005966E5">
              <w:rPr>
                <w:rFonts w:ascii="Arial" w:hAnsi="Arial" w:cs="Arial"/>
                <w:color w:val="000000"/>
                <w:sz w:val="18"/>
                <w:szCs w:val="18"/>
              </w:rPr>
              <w:t>17.6</w:t>
            </w:r>
            <w:r w:rsidRPr="003F7922">
              <w:rPr>
                <w:rFonts w:ascii="Arial" w:hAnsi="Arial" w:cs="Arial"/>
                <w:color w:val="000000"/>
                <w:sz w:val="18"/>
                <w:szCs w:val="18"/>
              </w:rPr>
              <w:t>%</w:t>
            </w:r>
          </w:p>
        </w:tc>
        <w:tc>
          <w:tcPr>
            <w:tcW w:w="1410" w:type="dxa"/>
            <w:vAlign w:val="center"/>
          </w:tcPr>
          <w:p w14:paraId="59A2F10C" w14:textId="4E2E70D0" w:rsidR="00F616DF" w:rsidRPr="00103FB9"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4.05</w:t>
            </w:r>
            <w:r>
              <w:rPr>
                <w:rFonts w:ascii="Arial" w:hAnsi="Arial" w:cs="Arial"/>
                <w:color w:val="000000"/>
                <w:sz w:val="18"/>
                <w:szCs w:val="18"/>
              </w:rPr>
              <w:t>B</w:t>
            </w:r>
          </w:p>
        </w:tc>
        <w:tc>
          <w:tcPr>
            <w:tcW w:w="1290" w:type="dxa"/>
            <w:vAlign w:val="center"/>
          </w:tcPr>
          <w:p w14:paraId="5B063ED0" w14:textId="3488C862" w:rsidR="00F616DF" w:rsidRPr="00103FB9" w:rsidRDefault="005966E5"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+0.5</w:t>
            </w:r>
            <w:r w:rsidR="00F616DF" w:rsidRPr="00103FB9">
              <w:rPr>
                <w:rFonts w:ascii="Arial" w:hAnsi="Arial" w:cs="Arial"/>
                <w:color w:val="000000"/>
                <w:sz w:val="18"/>
                <w:szCs w:val="18"/>
              </w:rPr>
              <w:t>%</w:t>
            </w:r>
          </w:p>
        </w:tc>
        <w:tc>
          <w:tcPr>
            <w:tcW w:w="1440" w:type="dxa"/>
            <w:vAlign w:val="center"/>
          </w:tcPr>
          <w:p w14:paraId="19A48928" w14:textId="43180F1F" w:rsidR="00F616DF" w:rsidRPr="00103FB9"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8.8</w:t>
            </w:r>
            <w:r w:rsidRPr="00103FB9">
              <w:rPr>
                <w:rFonts w:ascii="Arial" w:hAnsi="Arial" w:cs="Arial"/>
                <w:color w:val="000000"/>
                <w:sz w:val="18"/>
                <w:szCs w:val="18"/>
              </w:rPr>
              <w:t>%</w:t>
            </w:r>
          </w:p>
        </w:tc>
      </w:tr>
      <w:tr w:rsidR="00F616DF" w:rsidRPr="00FA2F0F" w14:paraId="3C23A2D5" w14:textId="77777777" w:rsidTr="003F465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B89A307" w14:textId="74D3B502" w:rsidR="00F616DF" w:rsidRPr="00103FB9" w:rsidRDefault="00F616DF" w:rsidP="00F616DF">
            <w:pPr>
              <w:pStyle w:val="NoSpacing"/>
              <w:rPr>
                <w:rFonts w:ascii="Arial" w:hAnsi="Arial" w:cs="Arial"/>
                <w:b w:val="0"/>
                <w:bCs w:val="0"/>
                <w:color w:val="000000" w:themeColor="text1"/>
                <w:sz w:val="18"/>
                <w:szCs w:val="18"/>
              </w:rPr>
            </w:pPr>
            <w:r w:rsidRPr="00103FB9">
              <w:rPr>
                <w:rFonts w:ascii="Arial" w:eastAsia="Times New Roman" w:hAnsi="Arial" w:cs="Arial"/>
                <w:b w:val="0"/>
                <w:color w:val="000000" w:themeColor="text1"/>
                <w:sz w:val="18"/>
                <w:szCs w:val="18"/>
              </w:rPr>
              <w:t>Frozen salmon</w:t>
            </w:r>
          </w:p>
        </w:tc>
        <w:tc>
          <w:tcPr>
            <w:tcW w:w="1455" w:type="dxa"/>
          </w:tcPr>
          <w:p w14:paraId="3A400688" w14:textId="1F4B20E6" w:rsidR="00F616DF" w:rsidRPr="00103FB9"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C5897">
              <w:rPr>
                <w:rFonts w:ascii="Arial" w:eastAsia="Times New Roman" w:hAnsi="Arial" w:cs="Arial"/>
                <w:color w:val="000000" w:themeColor="text1"/>
                <w:sz w:val="18"/>
                <w:szCs w:val="18"/>
              </w:rPr>
              <w:t>$</w:t>
            </w:r>
            <w:r w:rsidR="005966E5">
              <w:rPr>
                <w:rFonts w:ascii="Arial" w:eastAsia="Times New Roman" w:hAnsi="Arial" w:cs="Arial"/>
                <w:color w:val="000000" w:themeColor="text1"/>
                <w:sz w:val="18"/>
                <w:szCs w:val="18"/>
              </w:rPr>
              <w:t>98.2</w:t>
            </w:r>
            <w:r w:rsidRPr="001C5897">
              <w:rPr>
                <w:rFonts w:ascii="Arial" w:eastAsia="Times New Roman" w:hAnsi="Arial" w:cs="Arial"/>
                <w:color w:val="000000" w:themeColor="text1"/>
                <w:sz w:val="18"/>
                <w:szCs w:val="18"/>
              </w:rPr>
              <w:t>M</w:t>
            </w:r>
          </w:p>
        </w:tc>
        <w:tc>
          <w:tcPr>
            <w:tcW w:w="1455" w:type="dxa"/>
          </w:tcPr>
          <w:p w14:paraId="454751B8" w14:textId="2455864C" w:rsidR="00F616DF" w:rsidRPr="00103FB9"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14.1</w:t>
            </w:r>
            <w:r w:rsidRPr="006229B6">
              <w:rPr>
                <w:rFonts w:ascii="Arial" w:hAnsi="Arial" w:cs="Arial"/>
                <w:color w:val="000000"/>
                <w:sz w:val="18"/>
                <w:szCs w:val="18"/>
              </w:rPr>
              <w:t>%</w:t>
            </w:r>
          </w:p>
        </w:tc>
        <w:tc>
          <w:tcPr>
            <w:tcW w:w="1500" w:type="dxa"/>
          </w:tcPr>
          <w:p w14:paraId="5C16D02A" w14:textId="3B0731A0" w:rsidR="00F616DF" w:rsidRPr="00103FB9" w:rsidRDefault="005966E5"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+4.3</w:t>
            </w:r>
            <w:r w:rsidR="00F616DF" w:rsidRPr="003F7922">
              <w:rPr>
                <w:rFonts w:ascii="Arial" w:hAnsi="Arial" w:cs="Arial"/>
                <w:color w:val="000000"/>
                <w:sz w:val="18"/>
                <w:szCs w:val="18"/>
              </w:rPr>
              <w:t>%</w:t>
            </w:r>
          </w:p>
        </w:tc>
        <w:tc>
          <w:tcPr>
            <w:tcW w:w="1410" w:type="dxa"/>
            <w:vAlign w:val="center"/>
          </w:tcPr>
          <w:p w14:paraId="221E222A" w14:textId="679E668C" w:rsidR="00F616DF" w:rsidRPr="00103FB9"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1.16</w:t>
            </w:r>
            <w:r>
              <w:rPr>
                <w:rFonts w:ascii="Arial" w:hAnsi="Arial" w:cs="Arial"/>
                <w:color w:val="000000"/>
                <w:sz w:val="18"/>
                <w:szCs w:val="18"/>
              </w:rPr>
              <w:t>B</w:t>
            </w:r>
          </w:p>
        </w:tc>
        <w:tc>
          <w:tcPr>
            <w:tcW w:w="1290" w:type="dxa"/>
          </w:tcPr>
          <w:p w14:paraId="79116A6A" w14:textId="4F2E233C" w:rsidR="00F616DF" w:rsidRPr="00103FB9"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E5725">
              <w:rPr>
                <w:rFonts w:ascii="Arial" w:hAnsi="Arial" w:cs="Arial"/>
                <w:color w:val="000000"/>
                <w:sz w:val="18"/>
                <w:szCs w:val="18"/>
              </w:rPr>
              <w:t>+</w:t>
            </w:r>
            <w:r w:rsidR="005966E5">
              <w:rPr>
                <w:rFonts w:ascii="Arial" w:hAnsi="Arial" w:cs="Arial"/>
                <w:color w:val="000000"/>
                <w:sz w:val="18"/>
                <w:szCs w:val="18"/>
              </w:rPr>
              <w:t>12.6</w:t>
            </w:r>
            <w:r w:rsidRPr="007E5725">
              <w:rPr>
                <w:rFonts w:ascii="Arial" w:hAnsi="Arial" w:cs="Arial"/>
                <w:color w:val="000000"/>
                <w:sz w:val="18"/>
                <w:szCs w:val="18"/>
              </w:rPr>
              <w:t>%</w:t>
            </w:r>
          </w:p>
        </w:tc>
        <w:tc>
          <w:tcPr>
            <w:tcW w:w="1440" w:type="dxa"/>
          </w:tcPr>
          <w:p w14:paraId="2C2C5773" w14:textId="08A4E67D" w:rsidR="00F616DF" w:rsidRPr="00103FB9"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E5725">
              <w:rPr>
                <w:rFonts w:ascii="Arial" w:hAnsi="Arial" w:cs="Arial"/>
                <w:color w:val="000000"/>
                <w:sz w:val="18"/>
                <w:szCs w:val="18"/>
              </w:rPr>
              <w:t>+</w:t>
            </w:r>
            <w:r w:rsidR="005966E5">
              <w:rPr>
                <w:rFonts w:ascii="Arial" w:hAnsi="Arial" w:cs="Arial"/>
                <w:color w:val="000000"/>
                <w:sz w:val="18"/>
                <w:szCs w:val="18"/>
              </w:rPr>
              <w:t>6.8</w:t>
            </w:r>
            <w:r w:rsidRPr="007E5725">
              <w:rPr>
                <w:rFonts w:ascii="Arial" w:hAnsi="Arial" w:cs="Arial"/>
                <w:color w:val="000000"/>
                <w:sz w:val="18"/>
                <w:szCs w:val="18"/>
              </w:rPr>
              <w:t>%</w:t>
            </w:r>
          </w:p>
        </w:tc>
      </w:tr>
      <w:tr w:rsidR="00F616DF" w:rsidRPr="00FA2F0F" w14:paraId="7756AE9F" w14:textId="77777777" w:rsidTr="003F4653">
        <w:trPr>
          <w:trHeight w:val="2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47E33A40" w14:textId="77777777" w:rsidR="00F616DF" w:rsidRPr="00103FB9" w:rsidRDefault="00F616DF" w:rsidP="00F616DF">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pollock</w:t>
            </w:r>
          </w:p>
        </w:tc>
        <w:tc>
          <w:tcPr>
            <w:tcW w:w="1455" w:type="dxa"/>
          </w:tcPr>
          <w:p w14:paraId="733E8BB4" w14:textId="56999455" w:rsidR="00F616DF" w:rsidRPr="00103FB9"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1C5897">
              <w:rPr>
                <w:rFonts w:ascii="Arial" w:eastAsia="Times New Roman" w:hAnsi="Arial" w:cs="Arial"/>
                <w:color w:val="000000" w:themeColor="text1"/>
                <w:sz w:val="18"/>
                <w:szCs w:val="18"/>
              </w:rPr>
              <w:t>$</w:t>
            </w:r>
            <w:r w:rsidR="005966E5">
              <w:rPr>
                <w:rFonts w:ascii="Arial" w:eastAsia="Times New Roman" w:hAnsi="Arial" w:cs="Arial"/>
                <w:color w:val="000000" w:themeColor="text1"/>
                <w:sz w:val="18"/>
                <w:szCs w:val="18"/>
              </w:rPr>
              <w:t>50.2</w:t>
            </w:r>
            <w:r w:rsidRPr="001C5897">
              <w:rPr>
                <w:rFonts w:ascii="Arial" w:eastAsia="Times New Roman" w:hAnsi="Arial" w:cs="Arial"/>
                <w:color w:val="000000" w:themeColor="text1"/>
                <w:sz w:val="18"/>
                <w:szCs w:val="18"/>
              </w:rPr>
              <w:t>M</w:t>
            </w:r>
          </w:p>
        </w:tc>
        <w:tc>
          <w:tcPr>
            <w:tcW w:w="1455" w:type="dxa"/>
          </w:tcPr>
          <w:p w14:paraId="41826C28" w14:textId="2D3FD4E0" w:rsidR="00F616DF" w:rsidRPr="00103FB9"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5966E5">
              <w:rPr>
                <w:rFonts w:ascii="Arial" w:hAnsi="Arial" w:cs="Arial"/>
                <w:color w:val="000000"/>
                <w:sz w:val="18"/>
                <w:szCs w:val="18"/>
              </w:rPr>
              <w:t>6.8</w:t>
            </w:r>
            <w:r w:rsidRPr="006229B6">
              <w:rPr>
                <w:rFonts w:ascii="Arial" w:hAnsi="Arial" w:cs="Arial"/>
                <w:color w:val="000000"/>
                <w:sz w:val="18"/>
                <w:szCs w:val="18"/>
              </w:rPr>
              <w:t>%</w:t>
            </w:r>
          </w:p>
        </w:tc>
        <w:tc>
          <w:tcPr>
            <w:tcW w:w="1500" w:type="dxa"/>
          </w:tcPr>
          <w:p w14:paraId="437C066F" w14:textId="4D82E20D" w:rsidR="00F616DF" w:rsidRPr="00103FB9"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F7922">
              <w:rPr>
                <w:rFonts w:ascii="Arial" w:hAnsi="Arial" w:cs="Arial"/>
                <w:color w:val="000000"/>
                <w:sz w:val="18"/>
                <w:szCs w:val="18"/>
              </w:rPr>
              <w:t>-</w:t>
            </w:r>
            <w:r w:rsidR="005966E5">
              <w:rPr>
                <w:rFonts w:ascii="Arial" w:hAnsi="Arial" w:cs="Arial"/>
                <w:color w:val="000000"/>
                <w:sz w:val="18"/>
                <w:szCs w:val="18"/>
              </w:rPr>
              <w:t>16.0</w:t>
            </w:r>
            <w:r w:rsidRPr="003F7922">
              <w:rPr>
                <w:rFonts w:ascii="Arial" w:hAnsi="Arial" w:cs="Arial"/>
                <w:color w:val="000000"/>
                <w:sz w:val="18"/>
                <w:szCs w:val="18"/>
              </w:rPr>
              <w:t>%</w:t>
            </w:r>
          </w:p>
        </w:tc>
        <w:tc>
          <w:tcPr>
            <w:tcW w:w="1410" w:type="dxa"/>
          </w:tcPr>
          <w:p w14:paraId="080FAA3E" w14:textId="1FB06DC8" w:rsidR="00F616DF" w:rsidRPr="00103FB9"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22BEF">
              <w:rPr>
                <w:rFonts w:ascii="Arial" w:eastAsia="Times New Roman" w:hAnsi="Arial" w:cs="Arial"/>
                <w:color w:val="000000" w:themeColor="text1"/>
                <w:sz w:val="18"/>
                <w:szCs w:val="18"/>
              </w:rPr>
              <w:t>$</w:t>
            </w:r>
            <w:r w:rsidR="005966E5">
              <w:rPr>
                <w:rFonts w:ascii="Arial" w:eastAsia="Times New Roman" w:hAnsi="Arial" w:cs="Arial"/>
                <w:color w:val="000000" w:themeColor="text1"/>
                <w:sz w:val="18"/>
                <w:szCs w:val="18"/>
              </w:rPr>
              <w:t>639.9</w:t>
            </w:r>
            <w:r w:rsidRPr="00422BEF">
              <w:rPr>
                <w:rFonts w:ascii="Arial" w:eastAsia="Times New Roman" w:hAnsi="Arial" w:cs="Arial"/>
                <w:color w:val="000000" w:themeColor="text1"/>
                <w:sz w:val="18"/>
                <w:szCs w:val="18"/>
              </w:rPr>
              <w:t>M</w:t>
            </w:r>
          </w:p>
        </w:tc>
        <w:tc>
          <w:tcPr>
            <w:tcW w:w="1290" w:type="dxa"/>
          </w:tcPr>
          <w:p w14:paraId="5C02BECD" w14:textId="0100AD56" w:rsidR="00F616DF" w:rsidRPr="00103FB9"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E5725">
              <w:rPr>
                <w:rFonts w:ascii="Arial" w:hAnsi="Arial" w:cs="Arial"/>
                <w:color w:val="000000"/>
                <w:sz w:val="18"/>
                <w:szCs w:val="18"/>
              </w:rPr>
              <w:t>+</w:t>
            </w:r>
            <w:r w:rsidR="005966E5">
              <w:rPr>
                <w:rFonts w:ascii="Arial" w:hAnsi="Arial" w:cs="Arial"/>
                <w:color w:val="000000"/>
                <w:sz w:val="18"/>
                <w:szCs w:val="18"/>
              </w:rPr>
              <w:t>2.5</w:t>
            </w:r>
            <w:r w:rsidRPr="007E5725">
              <w:rPr>
                <w:rFonts w:ascii="Arial" w:hAnsi="Arial" w:cs="Arial"/>
                <w:color w:val="000000"/>
                <w:sz w:val="18"/>
                <w:szCs w:val="18"/>
              </w:rPr>
              <w:t>%</w:t>
            </w:r>
          </w:p>
        </w:tc>
        <w:tc>
          <w:tcPr>
            <w:tcW w:w="1440" w:type="dxa"/>
          </w:tcPr>
          <w:p w14:paraId="705E93BD" w14:textId="069C6C8B" w:rsidR="00F616DF" w:rsidRPr="00103FB9" w:rsidRDefault="00F616DF" w:rsidP="00F61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7E5725">
              <w:rPr>
                <w:rFonts w:ascii="Arial" w:hAnsi="Arial" w:cs="Arial"/>
                <w:color w:val="000000"/>
                <w:sz w:val="18"/>
                <w:szCs w:val="18"/>
              </w:rPr>
              <w:t>+</w:t>
            </w:r>
            <w:r w:rsidR="005966E5">
              <w:rPr>
                <w:rFonts w:ascii="Arial" w:hAnsi="Arial" w:cs="Arial"/>
                <w:color w:val="000000"/>
                <w:sz w:val="18"/>
                <w:szCs w:val="18"/>
              </w:rPr>
              <w:t>2.0</w:t>
            </w:r>
            <w:r w:rsidRPr="007E5725">
              <w:rPr>
                <w:rFonts w:ascii="Arial" w:hAnsi="Arial" w:cs="Arial"/>
                <w:color w:val="000000"/>
                <w:sz w:val="18"/>
                <w:szCs w:val="18"/>
              </w:rPr>
              <w:t>%</w:t>
            </w:r>
          </w:p>
        </w:tc>
      </w:tr>
      <w:tr w:rsidR="00F616DF" w:rsidRPr="00FA2F0F" w14:paraId="21E073A7" w14:textId="77777777" w:rsidTr="003F465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AB08DCB" w14:textId="77777777" w:rsidR="00F616DF" w:rsidRPr="00103FB9" w:rsidRDefault="00F616DF" w:rsidP="00F616DF">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tilapia</w:t>
            </w:r>
          </w:p>
        </w:tc>
        <w:tc>
          <w:tcPr>
            <w:tcW w:w="1455" w:type="dxa"/>
          </w:tcPr>
          <w:p w14:paraId="323C572D" w14:textId="5D924A38" w:rsidR="00F616DF" w:rsidRPr="00103FB9"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C5897">
              <w:rPr>
                <w:rFonts w:ascii="Arial" w:eastAsia="Times New Roman" w:hAnsi="Arial" w:cs="Arial"/>
                <w:color w:val="000000" w:themeColor="text1"/>
                <w:sz w:val="18"/>
                <w:szCs w:val="18"/>
              </w:rPr>
              <w:t>$</w:t>
            </w:r>
            <w:r w:rsidR="005966E5">
              <w:rPr>
                <w:rFonts w:ascii="Arial" w:eastAsia="Times New Roman" w:hAnsi="Arial" w:cs="Arial"/>
                <w:color w:val="000000" w:themeColor="text1"/>
                <w:sz w:val="18"/>
                <w:szCs w:val="18"/>
              </w:rPr>
              <w:t>47.8</w:t>
            </w:r>
            <w:r w:rsidRPr="001C5897">
              <w:rPr>
                <w:rFonts w:ascii="Arial" w:eastAsia="Times New Roman" w:hAnsi="Arial" w:cs="Arial"/>
                <w:color w:val="000000" w:themeColor="text1"/>
                <w:sz w:val="18"/>
                <w:szCs w:val="18"/>
              </w:rPr>
              <w:t>M</w:t>
            </w:r>
          </w:p>
        </w:tc>
        <w:tc>
          <w:tcPr>
            <w:tcW w:w="1455" w:type="dxa"/>
          </w:tcPr>
          <w:p w14:paraId="4FE91630" w14:textId="3F733945" w:rsidR="00F616DF" w:rsidRPr="00103FB9" w:rsidRDefault="005966E5"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+1.0</w:t>
            </w:r>
            <w:r w:rsidR="00F616DF" w:rsidRPr="006229B6">
              <w:rPr>
                <w:rFonts w:ascii="Arial" w:hAnsi="Arial" w:cs="Arial"/>
                <w:color w:val="000000"/>
                <w:sz w:val="18"/>
                <w:szCs w:val="18"/>
              </w:rPr>
              <w:t>%</w:t>
            </w:r>
          </w:p>
        </w:tc>
        <w:tc>
          <w:tcPr>
            <w:tcW w:w="1500" w:type="dxa"/>
          </w:tcPr>
          <w:p w14:paraId="3C051C29" w14:textId="122847CE" w:rsidR="00F616DF" w:rsidRPr="00103FB9"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F7922">
              <w:rPr>
                <w:rFonts w:ascii="Arial" w:hAnsi="Arial" w:cs="Arial"/>
                <w:color w:val="000000"/>
                <w:sz w:val="18"/>
                <w:szCs w:val="18"/>
              </w:rPr>
              <w:t>-</w:t>
            </w:r>
            <w:r w:rsidR="005966E5">
              <w:rPr>
                <w:rFonts w:ascii="Arial" w:hAnsi="Arial" w:cs="Arial"/>
                <w:color w:val="000000"/>
                <w:sz w:val="18"/>
                <w:szCs w:val="18"/>
              </w:rPr>
              <w:t>4.0</w:t>
            </w:r>
            <w:r w:rsidRPr="003F7922">
              <w:rPr>
                <w:rFonts w:ascii="Arial" w:hAnsi="Arial" w:cs="Arial"/>
                <w:color w:val="000000"/>
                <w:sz w:val="18"/>
                <w:szCs w:val="18"/>
              </w:rPr>
              <w:t>%</w:t>
            </w:r>
          </w:p>
        </w:tc>
        <w:tc>
          <w:tcPr>
            <w:tcW w:w="1410" w:type="dxa"/>
          </w:tcPr>
          <w:p w14:paraId="2B1619E0" w14:textId="33A686D8" w:rsidR="00F616DF" w:rsidRPr="00103FB9"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22BEF">
              <w:rPr>
                <w:rFonts w:ascii="Arial" w:eastAsia="Times New Roman" w:hAnsi="Arial" w:cs="Arial"/>
                <w:color w:val="000000" w:themeColor="text1"/>
                <w:sz w:val="18"/>
                <w:szCs w:val="18"/>
              </w:rPr>
              <w:t>$</w:t>
            </w:r>
            <w:r w:rsidR="005966E5">
              <w:rPr>
                <w:rFonts w:ascii="Arial" w:eastAsia="Times New Roman" w:hAnsi="Arial" w:cs="Arial"/>
                <w:color w:val="000000" w:themeColor="text1"/>
                <w:sz w:val="18"/>
                <w:szCs w:val="18"/>
              </w:rPr>
              <w:t>575.5</w:t>
            </w:r>
            <w:r w:rsidRPr="00422BEF">
              <w:rPr>
                <w:rFonts w:ascii="Arial" w:eastAsia="Times New Roman" w:hAnsi="Arial" w:cs="Arial"/>
                <w:color w:val="000000" w:themeColor="text1"/>
                <w:sz w:val="18"/>
                <w:szCs w:val="18"/>
              </w:rPr>
              <w:t>M</w:t>
            </w:r>
          </w:p>
        </w:tc>
        <w:tc>
          <w:tcPr>
            <w:tcW w:w="1290" w:type="dxa"/>
          </w:tcPr>
          <w:p w14:paraId="09EB7D12" w14:textId="02C6F9C6" w:rsidR="00F616DF" w:rsidRPr="00103FB9"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E5725">
              <w:rPr>
                <w:rFonts w:ascii="Arial" w:hAnsi="Arial" w:cs="Arial"/>
                <w:color w:val="000000"/>
                <w:sz w:val="18"/>
                <w:szCs w:val="18"/>
              </w:rPr>
              <w:t>+</w:t>
            </w:r>
            <w:r w:rsidR="005966E5">
              <w:rPr>
                <w:rFonts w:ascii="Arial" w:hAnsi="Arial" w:cs="Arial"/>
                <w:color w:val="000000"/>
                <w:sz w:val="18"/>
                <w:szCs w:val="18"/>
              </w:rPr>
              <w:t>5.7</w:t>
            </w:r>
            <w:r w:rsidRPr="007E5725">
              <w:rPr>
                <w:rFonts w:ascii="Arial" w:hAnsi="Arial" w:cs="Arial"/>
                <w:color w:val="000000"/>
                <w:sz w:val="18"/>
                <w:szCs w:val="18"/>
              </w:rPr>
              <w:t>%</w:t>
            </w:r>
          </w:p>
        </w:tc>
        <w:tc>
          <w:tcPr>
            <w:tcW w:w="1440" w:type="dxa"/>
          </w:tcPr>
          <w:p w14:paraId="2A29D516" w14:textId="768401DA" w:rsidR="00F616DF" w:rsidRPr="00103FB9" w:rsidRDefault="00F616DF" w:rsidP="00F61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E5725">
              <w:rPr>
                <w:rFonts w:ascii="Arial" w:hAnsi="Arial" w:cs="Arial"/>
                <w:color w:val="000000"/>
                <w:sz w:val="18"/>
                <w:szCs w:val="18"/>
              </w:rPr>
              <w:t>+</w:t>
            </w:r>
            <w:r w:rsidR="005966E5">
              <w:rPr>
                <w:rFonts w:ascii="Arial" w:hAnsi="Arial" w:cs="Arial"/>
                <w:color w:val="000000"/>
                <w:sz w:val="18"/>
                <w:szCs w:val="18"/>
              </w:rPr>
              <w:t>2.2</w:t>
            </w:r>
            <w:r w:rsidRPr="007E5725">
              <w:rPr>
                <w:rFonts w:ascii="Arial" w:hAnsi="Arial" w:cs="Arial"/>
                <w:color w:val="000000"/>
                <w:sz w:val="18"/>
                <w:szCs w:val="18"/>
              </w:rPr>
              <w:t>%</w:t>
            </w:r>
          </w:p>
        </w:tc>
      </w:tr>
      <w:tr w:rsidR="005966E5" w:rsidRPr="00FA2F0F" w14:paraId="5C23D789" w14:textId="77777777" w:rsidTr="003F4653">
        <w:trPr>
          <w:trHeight w:val="2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4D0E87D5" w14:textId="2DE10E92" w:rsidR="005966E5" w:rsidRPr="005966E5" w:rsidRDefault="005966E5" w:rsidP="005966E5">
            <w:pPr>
              <w:pStyle w:val="NoSpacing"/>
              <w:rPr>
                <w:rFonts w:ascii="Arial" w:eastAsia="Times New Roman" w:hAnsi="Arial" w:cs="Arial"/>
                <w:b w:val="0"/>
                <w:bCs w:val="0"/>
                <w:color w:val="000000" w:themeColor="text1"/>
                <w:sz w:val="18"/>
                <w:szCs w:val="18"/>
              </w:rPr>
            </w:pPr>
            <w:r w:rsidRPr="005966E5">
              <w:rPr>
                <w:rFonts w:ascii="Arial" w:eastAsia="Times New Roman" w:hAnsi="Arial" w:cs="Arial"/>
                <w:b w:val="0"/>
                <w:bCs w:val="0"/>
                <w:color w:val="000000" w:themeColor="text1"/>
                <w:sz w:val="18"/>
                <w:szCs w:val="18"/>
              </w:rPr>
              <w:t>Frozen cod</w:t>
            </w:r>
          </w:p>
        </w:tc>
        <w:tc>
          <w:tcPr>
            <w:tcW w:w="1455" w:type="dxa"/>
          </w:tcPr>
          <w:p w14:paraId="417DCD39" w14:textId="1F3DEC93" w:rsidR="005966E5" w:rsidRPr="005966E5" w:rsidRDefault="005966E5" w:rsidP="005966E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$23.0M</w:t>
            </w:r>
          </w:p>
        </w:tc>
        <w:tc>
          <w:tcPr>
            <w:tcW w:w="1455" w:type="dxa"/>
          </w:tcPr>
          <w:p w14:paraId="1236CB31" w14:textId="46A9315E" w:rsidR="005966E5" w:rsidRPr="005966E5" w:rsidRDefault="005966E5" w:rsidP="00596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-14.3%</w:t>
            </w:r>
          </w:p>
        </w:tc>
        <w:tc>
          <w:tcPr>
            <w:tcW w:w="1500" w:type="dxa"/>
          </w:tcPr>
          <w:p w14:paraId="5B1DD537" w14:textId="06C2D22E" w:rsidR="005966E5" w:rsidRPr="005966E5" w:rsidRDefault="005966E5" w:rsidP="00596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-31.3%</w:t>
            </w:r>
          </w:p>
        </w:tc>
        <w:tc>
          <w:tcPr>
            <w:tcW w:w="1410" w:type="dxa"/>
          </w:tcPr>
          <w:p w14:paraId="22898496" w14:textId="4E1FE3F7" w:rsidR="005966E5" w:rsidRPr="005966E5" w:rsidRDefault="005966E5" w:rsidP="005966E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422BEF">
              <w:rPr>
                <w:rFonts w:ascii="Arial" w:eastAsia="Times New Roman" w:hAnsi="Arial" w:cs="Arial"/>
                <w:color w:val="000000" w:themeColor="text1"/>
                <w:sz w:val="18"/>
                <w:szCs w:val="18"/>
              </w:rPr>
              <w:t>$</w:t>
            </w:r>
            <w:r w:rsidR="003358F9">
              <w:rPr>
                <w:rFonts w:ascii="Arial" w:eastAsia="Times New Roman" w:hAnsi="Arial" w:cs="Arial"/>
                <w:color w:val="000000" w:themeColor="text1"/>
                <w:sz w:val="18"/>
                <w:szCs w:val="18"/>
              </w:rPr>
              <w:t>307.9</w:t>
            </w:r>
            <w:r w:rsidRPr="00422BEF">
              <w:rPr>
                <w:rFonts w:ascii="Arial" w:eastAsia="Times New Roman" w:hAnsi="Arial" w:cs="Arial"/>
                <w:color w:val="000000" w:themeColor="text1"/>
                <w:sz w:val="18"/>
                <w:szCs w:val="18"/>
              </w:rPr>
              <w:t>M</w:t>
            </w:r>
          </w:p>
        </w:tc>
        <w:tc>
          <w:tcPr>
            <w:tcW w:w="1290" w:type="dxa"/>
          </w:tcPr>
          <w:p w14:paraId="10B02DA9" w14:textId="6FE40BAD" w:rsidR="005966E5" w:rsidRPr="005966E5" w:rsidRDefault="003358F9" w:rsidP="00596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w:t>
            </w:r>
            <w:r w:rsidR="005966E5" w:rsidRPr="007E5725">
              <w:rPr>
                <w:rFonts w:ascii="Arial" w:hAnsi="Arial" w:cs="Arial"/>
                <w:color w:val="000000"/>
                <w:sz w:val="18"/>
                <w:szCs w:val="18"/>
              </w:rPr>
              <w:t>%</w:t>
            </w:r>
          </w:p>
        </w:tc>
        <w:tc>
          <w:tcPr>
            <w:tcW w:w="1440" w:type="dxa"/>
          </w:tcPr>
          <w:p w14:paraId="51D46497" w14:textId="5B297AAE" w:rsidR="005966E5" w:rsidRPr="005966E5" w:rsidRDefault="003358F9" w:rsidP="005966E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-16.1</w:t>
            </w:r>
            <w:r w:rsidR="005966E5" w:rsidRPr="007E5725">
              <w:rPr>
                <w:rFonts w:ascii="Arial" w:hAnsi="Arial" w:cs="Arial"/>
                <w:color w:val="000000"/>
                <w:sz w:val="18"/>
                <w:szCs w:val="18"/>
              </w:rPr>
              <w:t>%</w:t>
            </w:r>
          </w:p>
        </w:tc>
      </w:tr>
      <w:tr w:rsidR="005966E5" w:rsidRPr="00FA2F0F" w14:paraId="7CEF3C20" w14:textId="77777777" w:rsidTr="003F465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9A9BC15" w14:textId="2EBF51EF" w:rsidR="005966E5" w:rsidRPr="00103FB9" w:rsidRDefault="005966E5" w:rsidP="005966E5">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crab</w:t>
            </w:r>
          </w:p>
        </w:tc>
        <w:tc>
          <w:tcPr>
            <w:tcW w:w="1455" w:type="dxa"/>
          </w:tcPr>
          <w:p w14:paraId="1FA12974" w14:textId="15CF54AC" w:rsidR="005966E5" w:rsidRPr="00103FB9" w:rsidRDefault="005966E5" w:rsidP="00596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C5897">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21.7</w:t>
            </w:r>
            <w:r w:rsidRPr="001C5897">
              <w:rPr>
                <w:rFonts w:ascii="Arial" w:eastAsia="Times New Roman" w:hAnsi="Arial" w:cs="Arial"/>
                <w:color w:val="000000" w:themeColor="text1"/>
                <w:sz w:val="18"/>
                <w:szCs w:val="18"/>
              </w:rPr>
              <w:t>M</w:t>
            </w:r>
          </w:p>
        </w:tc>
        <w:tc>
          <w:tcPr>
            <w:tcW w:w="1455" w:type="dxa"/>
          </w:tcPr>
          <w:p w14:paraId="04C006FC" w14:textId="20B27F6F" w:rsidR="005966E5" w:rsidRPr="00103FB9" w:rsidRDefault="005966E5" w:rsidP="00596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4552">
              <w:rPr>
                <w:rFonts w:ascii="Arial" w:hAnsi="Arial" w:cs="Arial"/>
                <w:color w:val="000000"/>
                <w:sz w:val="18"/>
                <w:szCs w:val="18"/>
              </w:rPr>
              <w:t>+</w:t>
            </w:r>
            <w:r>
              <w:rPr>
                <w:rFonts w:ascii="Arial" w:hAnsi="Arial" w:cs="Arial"/>
                <w:color w:val="000000"/>
                <w:sz w:val="18"/>
                <w:szCs w:val="18"/>
              </w:rPr>
              <w:t>10.2</w:t>
            </w:r>
            <w:r w:rsidRPr="00A54552">
              <w:rPr>
                <w:rFonts w:ascii="Arial" w:hAnsi="Arial" w:cs="Arial"/>
                <w:color w:val="000000"/>
                <w:sz w:val="18"/>
                <w:szCs w:val="18"/>
              </w:rPr>
              <w:t>%</w:t>
            </w:r>
          </w:p>
        </w:tc>
        <w:tc>
          <w:tcPr>
            <w:tcW w:w="1500" w:type="dxa"/>
          </w:tcPr>
          <w:p w14:paraId="55D89BBB" w14:textId="7B12E2E0" w:rsidR="005966E5" w:rsidRPr="00103FB9" w:rsidRDefault="005966E5" w:rsidP="00596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-0.9</w:t>
            </w:r>
            <w:r w:rsidRPr="00A54552">
              <w:rPr>
                <w:rFonts w:ascii="Arial" w:hAnsi="Arial" w:cs="Arial"/>
                <w:color w:val="000000"/>
                <w:sz w:val="18"/>
                <w:szCs w:val="18"/>
              </w:rPr>
              <w:t>%</w:t>
            </w:r>
          </w:p>
        </w:tc>
        <w:tc>
          <w:tcPr>
            <w:tcW w:w="1410" w:type="dxa"/>
          </w:tcPr>
          <w:p w14:paraId="02224226" w14:textId="1C2EC3BC" w:rsidR="005966E5" w:rsidRPr="00103FB9" w:rsidRDefault="005966E5" w:rsidP="00596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22BEF">
              <w:rPr>
                <w:rFonts w:ascii="Arial" w:eastAsia="Times New Roman" w:hAnsi="Arial" w:cs="Arial"/>
                <w:color w:val="000000" w:themeColor="text1"/>
                <w:sz w:val="18"/>
                <w:szCs w:val="18"/>
              </w:rPr>
              <w:t>$</w:t>
            </w:r>
            <w:r w:rsidR="003358F9">
              <w:rPr>
                <w:rFonts w:ascii="Arial" w:eastAsia="Times New Roman" w:hAnsi="Arial" w:cs="Arial"/>
                <w:color w:val="000000" w:themeColor="text1"/>
                <w:sz w:val="18"/>
                <w:szCs w:val="18"/>
              </w:rPr>
              <w:t>308.9</w:t>
            </w:r>
            <w:r w:rsidRPr="00422BEF">
              <w:rPr>
                <w:rFonts w:ascii="Arial" w:eastAsia="Times New Roman" w:hAnsi="Arial" w:cs="Arial"/>
                <w:color w:val="000000" w:themeColor="text1"/>
                <w:sz w:val="18"/>
                <w:szCs w:val="18"/>
              </w:rPr>
              <w:t>M</w:t>
            </w:r>
          </w:p>
        </w:tc>
        <w:tc>
          <w:tcPr>
            <w:tcW w:w="1290" w:type="dxa"/>
          </w:tcPr>
          <w:p w14:paraId="77504BA5" w14:textId="24EBD368" w:rsidR="005966E5" w:rsidRPr="00103FB9" w:rsidRDefault="005966E5" w:rsidP="00596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E5725">
              <w:rPr>
                <w:rFonts w:ascii="Arial" w:hAnsi="Arial" w:cs="Arial"/>
                <w:color w:val="000000"/>
                <w:sz w:val="18"/>
                <w:szCs w:val="18"/>
              </w:rPr>
              <w:t>+</w:t>
            </w:r>
            <w:r w:rsidR="003358F9">
              <w:rPr>
                <w:rFonts w:ascii="Arial" w:hAnsi="Arial" w:cs="Arial"/>
                <w:color w:val="000000"/>
                <w:sz w:val="18"/>
                <w:szCs w:val="18"/>
              </w:rPr>
              <w:t>13.6</w:t>
            </w:r>
            <w:r w:rsidRPr="007E5725">
              <w:rPr>
                <w:rFonts w:ascii="Arial" w:hAnsi="Arial" w:cs="Arial"/>
                <w:color w:val="000000"/>
                <w:sz w:val="18"/>
                <w:szCs w:val="18"/>
              </w:rPr>
              <w:t>%</w:t>
            </w:r>
          </w:p>
        </w:tc>
        <w:tc>
          <w:tcPr>
            <w:tcW w:w="1440" w:type="dxa"/>
          </w:tcPr>
          <w:p w14:paraId="5E7300B6" w14:textId="34126AAB" w:rsidR="005966E5" w:rsidRPr="00103FB9" w:rsidRDefault="005966E5" w:rsidP="005966E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7E5725">
              <w:rPr>
                <w:rFonts w:ascii="Arial" w:hAnsi="Arial" w:cs="Arial"/>
                <w:color w:val="000000"/>
                <w:sz w:val="18"/>
                <w:szCs w:val="18"/>
              </w:rPr>
              <w:t>+</w:t>
            </w:r>
            <w:r w:rsidR="003358F9">
              <w:rPr>
                <w:rFonts w:ascii="Arial" w:hAnsi="Arial" w:cs="Arial"/>
                <w:color w:val="000000"/>
                <w:sz w:val="18"/>
                <w:szCs w:val="18"/>
              </w:rPr>
              <w:t>0.7</w:t>
            </w:r>
            <w:r w:rsidRPr="007E5725">
              <w:rPr>
                <w:rFonts w:ascii="Arial" w:hAnsi="Arial" w:cs="Arial"/>
                <w:color w:val="000000"/>
                <w:sz w:val="18"/>
                <w:szCs w:val="18"/>
              </w:rPr>
              <w:t>%</w:t>
            </w:r>
          </w:p>
        </w:tc>
      </w:tr>
    </w:tbl>
    <w:p w14:paraId="681BDBAD" w14:textId="77777777" w:rsidR="000D2728" w:rsidRDefault="000D2728" w:rsidP="00CD29D9">
      <w:pPr>
        <w:pStyle w:val="NoSpacing"/>
        <w:rPr>
          <w:rFonts w:ascii="Arial" w:hAnsi="Arial" w:cs="Arial"/>
          <w:b/>
          <w:bCs/>
          <w:color w:val="00857C"/>
          <w:sz w:val="24"/>
          <w:szCs w:val="24"/>
        </w:rPr>
      </w:pPr>
      <w:bookmarkStart w:id="9" w:name="_Hlk118920915"/>
      <w:bookmarkStart w:id="10" w:name="_Hlk127026660"/>
    </w:p>
    <w:p w14:paraId="75CFE316" w14:textId="10DC2248" w:rsidR="00CD29D9" w:rsidRPr="00FA6FAE" w:rsidRDefault="00CD29D9" w:rsidP="00CD29D9">
      <w:pPr>
        <w:pStyle w:val="NoSpacing"/>
        <w:rPr>
          <w:rFonts w:ascii="Arial" w:hAnsi="Arial" w:cs="Arial"/>
          <w:b/>
          <w:bCs/>
          <w:color w:val="00857C"/>
          <w:sz w:val="24"/>
          <w:szCs w:val="24"/>
        </w:rPr>
      </w:pPr>
      <w:r w:rsidRPr="00FA6FAE">
        <w:rPr>
          <w:rFonts w:ascii="Arial" w:hAnsi="Arial" w:cs="Arial"/>
          <w:b/>
          <w:bCs/>
          <w:color w:val="00857C"/>
          <w:sz w:val="24"/>
          <w:szCs w:val="24"/>
        </w:rPr>
        <w:t>What’s Next?</w:t>
      </w:r>
    </w:p>
    <w:bookmarkEnd w:id="9"/>
    <w:bookmarkEnd w:id="10"/>
    <w:p w14:paraId="0D5AE677" w14:textId="77777777" w:rsidR="003F4653" w:rsidRDefault="003F4653" w:rsidP="003F4653">
      <w:pPr>
        <w:pStyle w:val="NoSpacing"/>
        <w:numPr>
          <w:ilvl w:val="0"/>
          <w:numId w:val="32"/>
        </w:numPr>
        <w:rPr>
          <w:rFonts w:ascii="Arial" w:hAnsi="Arial" w:cs="Arial"/>
          <w:sz w:val="20"/>
          <w:szCs w:val="20"/>
        </w:rPr>
      </w:pPr>
      <w:r>
        <w:rPr>
          <w:rFonts w:ascii="Arial" w:hAnsi="Arial" w:cs="Arial"/>
          <w:sz w:val="20"/>
          <w:szCs w:val="20"/>
        </w:rPr>
        <w:t>Convenience store sales, excluding fuel sales, hit $341 billion in 2025, according to the National Association of Convenience Stores. This reflected an increase of 1.7% over 2024. Foodservice represented 28.5% of total sales. The category has grown significantly over the past two decades, up from 11.9% in 2005, according to NACS, and contributed 38.9% of in-store gross profit dollars.</w:t>
      </w:r>
    </w:p>
    <w:p w14:paraId="734810EF" w14:textId="77777777" w:rsidR="003F4653" w:rsidRDefault="003F4653" w:rsidP="003F4653">
      <w:pPr>
        <w:pStyle w:val="NoSpacing"/>
        <w:numPr>
          <w:ilvl w:val="0"/>
          <w:numId w:val="32"/>
        </w:numPr>
        <w:rPr>
          <w:rFonts w:ascii="Arial" w:hAnsi="Arial" w:cs="Arial"/>
          <w:sz w:val="20"/>
          <w:szCs w:val="20"/>
        </w:rPr>
      </w:pPr>
      <w:r>
        <w:rPr>
          <w:rFonts w:ascii="Arial" w:hAnsi="Arial" w:cs="Arial"/>
          <w:sz w:val="20"/>
          <w:szCs w:val="20"/>
        </w:rPr>
        <w:t>Convenience store foodservice sales include hot and cold prepared foods as well as dispensed beverages. Prepared food, including pizza, chicken, burgers, wraps and salads, remained the largest segment, representing 73.9% of foodservice sales, up from 66.4% in 2021.</w:t>
      </w:r>
    </w:p>
    <w:p w14:paraId="1F565F1B" w14:textId="63B7DBE0" w:rsidR="00711273" w:rsidRDefault="00711273" w:rsidP="00637392">
      <w:pPr>
        <w:pStyle w:val="NoSpacing"/>
        <w:rPr>
          <w:rFonts w:ascii="Arial" w:hAnsi="Arial" w:cs="Arial"/>
          <w:b/>
          <w:sz w:val="20"/>
          <w:szCs w:val="20"/>
        </w:rPr>
      </w:pPr>
    </w:p>
    <w:p w14:paraId="1F7B132B" w14:textId="77777777" w:rsidR="00711273" w:rsidRDefault="00711273" w:rsidP="00637392">
      <w:pPr>
        <w:pStyle w:val="NoSpacing"/>
        <w:rPr>
          <w:rFonts w:ascii="Arial" w:hAnsi="Arial" w:cs="Arial"/>
          <w:b/>
          <w:sz w:val="20"/>
          <w:szCs w:val="20"/>
        </w:rPr>
        <w:sectPr w:rsidR="00711273" w:rsidSect="00EE3028">
          <w:headerReference w:type="default" r:id="rId12"/>
          <w:footerReference w:type="default" r:id="rId13"/>
          <w:type w:val="continuous"/>
          <w:pgSz w:w="12240" w:h="15840"/>
          <w:pgMar w:top="1135" w:right="758" w:bottom="810" w:left="851" w:header="708" w:footer="327" w:gutter="0"/>
          <w:cols w:space="708"/>
          <w:docGrid w:linePitch="360"/>
        </w:sectPr>
      </w:pPr>
    </w:p>
    <w:p w14:paraId="0AC9AE24" w14:textId="7408CECD"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10F280D1" w14:textId="059D4004" w:rsidR="001A30AF" w:rsidRPr="001A30AF" w:rsidRDefault="001A30AF" w:rsidP="00BA6703">
      <w:pPr>
        <w:pStyle w:val="NoSpacing"/>
        <w:rPr>
          <w:rFonts w:ascii="Arial" w:hAnsi="Arial" w:cs="Arial"/>
          <w:sz w:val="20"/>
          <w:szCs w:val="20"/>
        </w:rPr>
      </w:pPr>
      <w:r w:rsidRPr="001A30AF">
        <w:rPr>
          <w:rFonts w:ascii="Arial" w:hAnsi="Arial" w:cs="Arial"/>
          <w:sz w:val="20"/>
          <w:szCs w:val="20"/>
        </w:rPr>
        <w:t>2025: 52 weeks ending 12/28/2025</w:t>
      </w:r>
    </w:p>
    <w:p w14:paraId="7528FC86" w14:textId="77777777" w:rsidR="001A30AF" w:rsidRDefault="001A30AF" w:rsidP="00BA6703">
      <w:pPr>
        <w:pStyle w:val="NoSpacing"/>
        <w:rPr>
          <w:rFonts w:ascii="Arial" w:hAnsi="Arial" w:cs="Arial"/>
          <w:b/>
          <w:sz w:val="20"/>
          <w:szCs w:val="20"/>
        </w:rPr>
      </w:pP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50D9B311" w14:textId="2059FD0F" w:rsidR="001A30AF" w:rsidRDefault="003F4653" w:rsidP="00BA6703">
      <w:pPr>
        <w:pStyle w:val="NoSpacing"/>
        <w:rPr>
          <w:rFonts w:ascii="Arial" w:hAnsi="Arial" w:cs="Arial"/>
          <w:sz w:val="20"/>
          <w:szCs w:val="20"/>
        </w:rPr>
      </w:pPr>
      <w:r>
        <w:rPr>
          <w:rFonts w:ascii="Arial" w:hAnsi="Arial" w:cs="Arial"/>
          <w:sz w:val="20"/>
          <w:szCs w:val="20"/>
        </w:rPr>
        <w:t>Q1 2026: 13 weeks ending 03/29/2026</w:t>
      </w:r>
    </w:p>
    <w:p w14:paraId="328D51F3" w14:textId="79CF5D85" w:rsidR="00BA6703" w:rsidRDefault="003F4653" w:rsidP="00BA6703">
      <w:pPr>
        <w:pStyle w:val="NoSpacing"/>
        <w:rPr>
          <w:rFonts w:ascii="Arial" w:hAnsi="Arial" w:cs="Arial"/>
          <w:sz w:val="20"/>
          <w:szCs w:val="20"/>
        </w:rPr>
      </w:pPr>
      <w:r>
        <w:rPr>
          <w:rFonts w:ascii="Arial" w:hAnsi="Arial" w:cs="Arial"/>
          <w:sz w:val="20"/>
          <w:szCs w:val="20"/>
        </w:rPr>
        <w:t>April</w:t>
      </w:r>
      <w:r w:rsidR="00F34BCF">
        <w:rPr>
          <w:rFonts w:ascii="Arial" w:hAnsi="Arial" w:cs="Arial"/>
          <w:sz w:val="20"/>
          <w:szCs w:val="20"/>
        </w:rPr>
        <w:t xml:space="preserve"> </w:t>
      </w:r>
      <w:r w:rsidR="002329BC">
        <w:rPr>
          <w:rFonts w:ascii="Arial" w:hAnsi="Arial" w:cs="Arial"/>
          <w:sz w:val="20"/>
          <w:szCs w:val="20"/>
        </w:rPr>
        <w:t>2026</w:t>
      </w:r>
      <w:r w:rsidR="00B43838">
        <w:rPr>
          <w:rFonts w:ascii="Arial" w:hAnsi="Arial" w:cs="Arial"/>
          <w:sz w:val="20"/>
          <w:szCs w:val="20"/>
        </w:rPr>
        <w:t xml:space="preserve">: </w:t>
      </w:r>
      <w:r w:rsidR="00C217FB">
        <w:rPr>
          <w:rFonts w:ascii="Arial" w:hAnsi="Arial" w:cs="Arial"/>
          <w:sz w:val="20"/>
          <w:szCs w:val="20"/>
        </w:rPr>
        <w:t>4</w:t>
      </w:r>
      <w:r w:rsidR="00103FB9">
        <w:rPr>
          <w:rFonts w:ascii="Arial" w:hAnsi="Arial" w:cs="Arial"/>
          <w:sz w:val="20"/>
          <w:szCs w:val="20"/>
        </w:rPr>
        <w:t xml:space="preserve"> </w:t>
      </w:r>
      <w:r w:rsidR="00046AD4">
        <w:rPr>
          <w:rFonts w:ascii="Arial" w:hAnsi="Arial" w:cs="Arial"/>
          <w:sz w:val="20"/>
          <w:szCs w:val="20"/>
        </w:rPr>
        <w:t xml:space="preserve">weeks ending </w:t>
      </w:r>
      <w:r w:rsidR="002329BC">
        <w:rPr>
          <w:rFonts w:ascii="Arial" w:hAnsi="Arial" w:cs="Arial"/>
          <w:sz w:val="20"/>
          <w:szCs w:val="20"/>
        </w:rPr>
        <w:t>0</w:t>
      </w:r>
      <w:r>
        <w:rPr>
          <w:rFonts w:ascii="Arial" w:hAnsi="Arial" w:cs="Arial"/>
          <w:sz w:val="20"/>
          <w:szCs w:val="20"/>
        </w:rPr>
        <w:t>4</w:t>
      </w:r>
      <w:r w:rsidR="002329BC">
        <w:rPr>
          <w:rFonts w:ascii="Arial" w:hAnsi="Arial" w:cs="Arial"/>
          <w:sz w:val="20"/>
          <w:szCs w:val="20"/>
        </w:rPr>
        <w:t>/</w:t>
      </w:r>
      <w:r>
        <w:rPr>
          <w:rFonts w:ascii="Arial" w:hAnsi="Arial" w:cs="Arial"/>
          <w:sz w:val="20"/>
          <w:szCs w:val="20"/>
        </w:rPr>
        <w:t>26</w:t>
      </w:r>
      <w:r w:rsidR="00A357C9">
        <w:rPr>
          <w:rFonts w:ascii="Arial" w:hAnsi="Arial" w:cs="Arial"/>
          <w:sz w:val="20"/>
          <w:szCs w:val="20"/>
        </w:rPr>
        <w:t>/</w:t>
      </w:r>
      <w:r w:rsidR="00046AD4">
        <w:rPr>
          <w:rFonts w:ascii="Arial" w:hAnsi="Arial" w:cs="Arial"/>
          <w:sz w:val="20"/>
          <w:szCs w:val="20"/>
        </w:rPr>
        <w:t>202</w:t>
      </w:r>
      <w:r w:rsidR="00F34BCF">
        <w:rPr>
          <w:rFonts w:ascii="Arial" w:hAnsi="Arial" w:cs="Arial"/>
          <w:sz w:val="20"/>
          <w:szCs w:val="20"/>
        </w:rPr>
        <w:t>6</w:t>
      </w:r>
    </w:p>
    <w:p w14:paraId="11C367A6" w14:textId="77777777" w:rsidR="003C39AB" w:rsidRDefault="003C39AB" w:rsidP="00BA6703">
      <w:pPr>
        <w:pStyle w:val="NoSpacing"/>
        <w:rPr>
          <w:rFonts w:ascii="Arial" w:hAnsi="Arial" w:cs="Arial"/>
          <w:sz w:val="20"/>
          <w:szCs w:val="20"/>
        </w:rPr>
      </w:pPr>
    </w:p>
    <w:p w14:paraId="0D0B6B73" w14:textId="77777777" w:rsidR="003C39AB" w:rsidRPr="00B73FEA" w:rsidRDefault="003C39AB" w:rsidP="003C39AB">
      <w:pPr>
        <w:pStyle w:val="NoSpacing"/>
        <w:rPr>
          <w:rFonts w:ascii="Arial" w:hAnsi="Arial" w:cs="Arial"/>
          <w:sz w:val="20"/>
          <w:szCs w:val="20"/>
        </w:rPr>
      </w:pPr>
      <w:r w:rsidRPr="00B73FEA">
        <w:rPr>
          <w:rFonts w:ascii="Arial" w:hAnsi="Arial" w:cs="Arial"/>
          <w:b/>
          <w:bCs/>
          <w:sz w:val="20"/>
          <w:szCs w:val="20"/>
        </w:rPr>
        <w:t>About MSD Animal Health</w:t>
      </w:r>
      <w:r w:rsidRPr="00B73FEA">
        <w:rPr>
          <w:rFonts w:ascii="Arial" w:hAnsi="Arial" w:cs="Arial"/>
          <w:sz w:val="20"/>
          <w:szCs w:val="20"/>
        </w:rPr>
        <w:t> </w:t>
      </w:r>
    </w:p>
    <w:p w14:paraId="0A25D06E" w14:textId="77777777" w:rsidR="003C39AB" w:rsidRPr="00B73FEA" w:rsidRDefault="003C39AB" w:rsidP="003C39AB">
      <w:pPr>
        <w:pStyle w:val="NoSpacing"/>
        <w:rPr>
          <w:rFonts w:ascii="Arial" w:hAnsi="Arial" w:cs="Arial"/>
          <w:sz w:val="20"/>
          <w:szCs w:val="20"/>
        </w:rPr>
      </w:pPr>
      <w:r w:rsidRPr="00B73FEA">
        <w:rPr>
          <w:rFonts w:ascii="Arial" w:hAnsi="Arial" w:cs="Arial"/>
          <w:sz w:val="20"/>
          <w:szCs w:val="20"/>
        </w:rPr>
        <w:t>At MSD, known as Merck &amp; Co., Inc., Rahway, N.J., USA in the United States and Canada, we are unified around our purpose: We use the power of leading-edge science to save and improve lives around the world. For more than a century, we’ve been at the forefront of research, bringing forward medicines, vaccines and innovative health solutions for the world’s most challenging diseases. MSD Animal Health, a division of Merck &amp; Co., Inc., Rahway, N.J., USA, is the global animal health business of MSD. Through its commitment to The Science of Healthier Animals</w:t>
      </w:r>
      <w:r w:rsidRPr="00B73FEA">
        <w:rPr>
          <w:rFonts w:ascii="Arial" w:hAnsi="Arial" w:cs="Arial"/>
          <w:i/>
          <w:iCs/>
          <w:sz w:val="20"/>
          <w:szCs w:val="20"/>
        </w:rPr>
        <w:t>®</w:t>
      </w:r>
      <w:r w:rsidRPr="00B73FEA">
        <w:rPr>
          <w:rFonts w:ascii="Arial" w:hAnsi="Arial" w:cs="Arial"/>
          <w:sz w:val="20"/>
          <w:szCs w:val="20"/>
        </w:rPr>
        <w:t xml:space="preserve">, MSD Animal Health offers veterinarians, farmers, producers, pet owners and governments one of the widest ranges of veterinary pharmaceuticals, vaccines and health management solutions and services as well as an extensive suite of connected technology that includes identification, traceability and monitoring products. MSD Animal Health is dedicated to preserving and improving the health, well-being and performance of animals and the people who care for them. It invests extensively in dynamic and comprehensive R&amp;D resources and a modern, global supply chain. MSD Animal Health is present in more than 50 countries, while its products are available in some 150 markets. For more information, visit </w:t>
      </w:r>
      <w:hyperlink r:id="rId14" w:tgtFrame="_blank" w:tooltip="http://www.msd-animal-health.com/" w:history="1">
        <w:r w:rsidRPr="00B73FEA">
          <w:rPr>
            <w:rStyle w:val="Hyperlink"/>
            <w:rFonts w:ascii="Arial" w:hAnsi="Arial" w:cs="Arial"/>
            <w:sz w:val="20"/>
            <w:szCs w:val="20"/>
          </w:rPr>
          <w:t>www.msd-animal-health.com</w:t>
        </w:r>
      </w:hyperlink>
      <w:r w:rsidRPr="00B73FEA">
        <w:rPr>
          <w:rFonts w:ascii="Arial" w:hAnsi="Arial" w:cs="Arial"/>
          <w:sz w:val="20"/>
          <w:szCs w:val="20"/>
        </w:rPr>
        <w:t xml:space="preserve"> and connect with us on </w:t>
      </w:r>
      <w:hyperlink r:id="rId15" w:tgtFrame="_blank" w:tooltip="https://www.linkedin.com/showcase/msd-animal-health" w:history="1">
        <w:r w:rsidRPr="00B73FEA">
          <w:rPr>
            <w:rStyle w:val="Hyperlink"/>
            <w:rFonts w:ascii="Arial" w:hAnsi="Arial" w:cs="Arial"/>
            <w:sz w:val="20"/>
            <w:szCs w:val="20"/>
          </w:rPr>
          <w:t>LinkedIn</w:t>
        </w:r>
      </w:hyperlink>
      <w:r w:rsidRPr="00B73FEA">
        <w:rPr>
          <w:rFonts w:ascii="Arial" w:hAnsi="Arial" w:cs="Arial"/>
          <w:sz w:val="20"/>
          <w:szCs w:val="20"/>
        </w:rPr>
        <w:t xml:space="preserve"> and </w:t>
      </w:r>
      <w:hyperlink r:id="rId16" w:tgtFrame="_blank" w:tooltip="https://twitter.com/msdanimalhealth" w:history="1">
        <w:r w:rsidRPr="00B73FEA">
          <w:rPr>
            <w:rStyle w:val="Hyperlink"/>
            <w:rFonts w:ascii="Arial" w:hAnsi="Arial" w:cs="Arial"/>
            <w:sz w:val="20"/>
            <w:szCs w:val="20"/>
          </w:rPr>
          <w:t>X (formerly Twitter)</w:t>
        </w:r>
      </w:hyperlink>
      <w:r w:rsidRPr="00B73FEA">
        <w:rPr>
          <w:rFonts w:ascii="Arial" w:hAnsi="Arial" w:cs="Arial"/>
          <w:sz w:val="20"/>
          <w:szCs w:val="20"/>
        </w:rPr>
        <w:t>.</w:t>
      </w:r>
    </w:p>
    <w:p w14:paraId="728D9C95" w14:textId="443D7FCC" w:rsidR="00BA6703" w:rsidRPr="00B73FEA" w:rsidRDefault="00BA6703" w:rsidP="00BA6703">
      <w:pPr>
        <w:pStyle w:val="NoSpacing"/>
        <w:rPr>
          <w:rFonts w:ascii="Arial" w:hAnsi="Arial" w:cs="Arial"/>
          <w:sz w:val="20"/>
          <w:szCs w:val="20"/>
        </w:rPr>
      </w:pPr>
    </w:p>
    <w:sectPr w:rsidR="00BA6703" w:rsidRPr="00B73FEA" w:rsidSect="00020EF9">
      <w:headerReference w:type="default" r:id="rId17"/>
      <w:footerReference w:type="default" r:id="rId18"/>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F99B" w14:textId="77777777" w:rsidR="00BE4F88" w:rsidRDefault="00BE4F88" w:rsidP="005C6A11">
      <w:pPr>
        <w:spacing w:after="0" w:line="240" w:lineRule="auto"/>
      </w:pPr>
      <w:r>
        <w:separator/>
      </w:r>
    </w:p>
  </w:endnote>
  <w:endnote w:type="continuationSeparator" w:id="0">
    <w:p w14:paraId="7B4C91FD" w14:textId="77777777" w:rsidR="00BE4F88" w:rsidRDefault="00BE4F88"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90E" w14:textId="191CB125" w:rsidR="003F4653" w:rsidRPr="001C4C48" w:rsidRDefault="003F4653"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6C27C"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3F4653" w:rsidRPr="00030F05" w:rsidRDefault="003F4653"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3F4653" w:rsidRPr="00D43137" w:rsidRDefault="003F4653"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1"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bcGQIAADMEAAAOAAAAZHJzL2Uyb0RvYy54bWysU01v2zAMvQ/YfxB0X5w4a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IoWVtwZAgAAMwQAAA4AAAAAAAAAAAAAAAAALgIAAGRycy9lMm9Eb2MueG1sUEsBAi0A&#10;FAAGAAgAAAAhAK0HMQngAAAACQEAAA8AAAAAAAAAAAAAAAAAcwQAAGRycy9kb3ducmV2LnhtbFBL&#10;BQYAAAAABAAEAPMAAACABQAAAAA=&#10;" filled="f" stroked="f" strokeweight=".5pt">
              <v:textbox>
                <w:txbxContent>
                  <w:p w14:paraId="7F70E202" w14:textId="77777777" w:rsidR="003F4653" w:rsidRPr="00D43137" w:rsidRDefault="003F4653"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2869DE13" w14:textId="7F6C9337" w:rsidR="003F4653" w:rsidRDefault="003F4653" w:rsidP="005C6A11">
    <w:pPr>
      <w:pStyle w:val="NoSpacing"/>
    </w:pPr>
    <w:hyperlink r:id="rId3" w:history="1">
      <w:r w:rsidRPr="00EE3028">
        <w:rPr>
          <w:rStyle w:val="Hyperlink"/>
          <w:sz w:val="16"/>
        </w:rPr>
        <w:t>Or reach us here</w:t>
      </w:r>
    </w:hyperlink>
    <w:r>
      <w:rPr>
        <w:sz w:val="16"/>
      </w:rPr>
      <w:tab/>
    </w:r>
    <w:r>
      <w:rPr>
        <w:sz w:val="16"/>
      </w:rPr>
      <w:tab/>
    </w:r>
    <w:r>
      <w:rPr>
        <w:sz w:val="16"/>
      </w:rPr>
      <w:tab/>
      <w:t>aroerink@210analytics.com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10B" w14:textId="5603CEEC" w:rsidR="003F4653" w:rsidRPr="001C4C48" w:rsidRDefault="003F4653"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DDB5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3F4653" w:rsidRPr="00030F05" w:rsidRDefault="003F4653"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3F4653" w:rsidRPr="00D43137" w:rsidRDefault="003F4653"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5"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PTTij8ZAgAAMwQAAA4AAAAAAAAAAAAAAAAALgIAAGRycy9lMm9Eb2MueG1sUEsBAi0A&#10;FAAGAAgAAAAhAK0HMQngAAAACQEAAA8AAAAAAAAAAAAAAAAAcwQAAGRycy9kb3ducmV2LnhtbFBL&#10;BQYAAAAABAAEAPMAAACABQAAAAA=&#10;" filled="f" stroked="f" strokeweight=".5pt">
              <v:textbox>
                <w:txbxContent>
                  <w:p w14:paraId="08F80453" w14:textId="77777777" w:rsidR="003F4653" w:rsidRPr="00D43137" w:rsidRDefault="003F4653"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3F4653" w:rsidRDefault="003F4653"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3CD6" w14:textId="77777777" w:rsidR="00BE4F88" w:rsidRDefault="00BE4F88" w:rsidP="005C6A11">
      <w:pPr>
        <w:spacing w:after="0" w:line="240" w:lineRule="auto"/>
      </w:pPr>
      <w:r>
        <w:separator/>
      </w:r>
    </w:p>
  </w:footnote>
  <w:footnote w:type="continuationSeparator" w:id="0">
    <w:p w14:paraId="18850DB8" w14:textId="77777777" w:rsidR="00BE4F88" w:rsidRDefault="00BE4F88"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01A" w14:textId="77B7473C" w:rsidR="003F4653" w:rsidRDefault="003F4653">
    <w:pPr>
      <w:pStyle w:val="Header"/>
    </w:pPr>
    <w:r>
      <w:rPr>
        <w:noProof/>
        <w:lang w:val="nl-NL" w:eastAsia="nl-NL"/>
      </w:rPr>
      <mc:AlternateContent>
        <mc:Choice Requires="wps">
          <w:drawing>
            <wp:anchor distT="0" distB="0" distL="114300" distR="114300" simplePos="0" relativeHeight="251686912" behindDoc="0" locked="0" layoutInCell="1" allowOverlap="1" wp14:anchorId="43C728C5" wp14:editId="39AD3FC2">
              <wp:simplePos x="0" y="0"/>
              <wp:positionH relativeFrom="margin">
                <wp:posOffset>3094272</wp:posOffset>
              </wp:positionH>
              <wp:positionV relativeFrom="paragraph">
                <wp:posOffset>-170208</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3F4653" w:rsidRPr="00C24355" w:rsidRDefault="003F4653"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8" type="#_x0000_t202" style="position:absolute;margin-left:243.65pt;margin-top:-13.4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XBFwIAACw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" filled="f" stroked="f" strokeweight=".5pt">
              <v:textbox>
                <w:txbxContent>
                  <w:p w14:paraId="3DBD0102" w14:textId="77777777" w:rsidR="003F4653" w:rsidRPr="00C24355" w:rsidRDefault="003F4653"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79744" behindDoc="0" locked="0" layoutInCell="1" allowOverlap="1" wp14:anchorId="2FF99325" wp14:editId="410748F5">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97DCFA7"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3F4653" w:rsidRPr="00C24355" w:rsidRDefault="003F4653">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29"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YOGA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" filled="f" stroked="f" strokeweight=".5pt">
              <v:textbox>
                <w:txbxContent>
                  <w:p w14:paraId="215D49A1" w14:textId="77777777" w:rsidR="003F4653" w:rsidRPr="00C24355" w:rsidRDefault="003F4653">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3F4653" w:rsidRDefault="003F4653"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0"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" filled="f" stroked="f">
              <v:textbox inset="0,0,0,0">
                <w:txbxContent>
                  <w:p w14:paraId="7B8B5969" w14:textId="77777777" w:rsidR="003F4653" w:rsidRDefault="003F4653"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1A0" w14:textId="70CAC421" w:rsidR="003F4653" w:rsidRDefault="003F4653">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32245E"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3F4653" w:rsidRPr="00C24355" w:rsidRDefault="003F4653"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2"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4b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" filled="f" stroked="f" strokeweight=".5pt">
              <v:textbox>
                <w:txbxContent>
                  <w:p w14:paraId="06ADC25C" w14:textId="292E0D27" w:rsidR="003F4653" w:rsidRPr="00C24355" w:rsidRDefault="003F4653"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3F4653" w:rsidRPr="00C24355" w:rsidRDefault="003F4653">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3"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rtGQ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" filled="f" stroked="f" strokeweight=".5pt">
              <v:textbox>
                <w:txbxContent>
                  <w:p w14:paraId="633CA68C" w14:textId="610B1D9F" w:rsidR="003F4653" w:rsidRPr="00C24355" w:rsidRDefault="003F4653">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3F4653" w:rsidRDefault="003F4653"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4"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" filled="f" stroked="f">
              <v:textbox inset="0,0,0,0">
                <w:txbxContent>
                  <w:p w14:paraId="1095739C" w14:textId="77777777" w:rsidR="003F4653" w:rsidRDefault="003F4653"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D13AED"/>
    <w:multiLevelType w:val="multilevel"/>
    <w:tmpl w:val="8DE880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1A05FD"/>
    <w:multiLevelType w:val="hybridMultilevel"/>
    <w:tmpl w:val="F0347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C573A"/>
    <w:multiLevelType w:val="hybridMultilevel"/>
    <w:tmpl w:val="1D1E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0107A2"/>
    <w:multiLevelType w:val="multilevel"/>
    <w:tmpl w:val="E02CB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0B0BAE"/>
    <w:multiLevelType w:val="hybridMultilevel"/>
    <w:tmpl w:val="6944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210AE"/>
    <w:multiLevelType w:val="hybridMultilevel"/>
    <w:tmpl w:val="4ECA22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D376FA"/>
    <w:multiLevelType w:val="hybridMultilevel"/>
    <w:tmpl w:val="31D420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47019B"/>
    <w:multiLevelType w:val="multilevel"/>
    <w:tmpl w:val="67E6767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2C0F10"/>
    <w:multiLevelType w:val="hybridMultilevel"/>
    <w:tmpl w:val="2556C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844A83"/>
    <w:multiLevelType w:val="hybridMultilevel"/>
    <w:tmpl w:val="7AC41E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D65C6"/>
    <w:multiLevelType w:val="hybridMultilevel"/>
    <w:tmpl w:val="2FCC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5425254"/>
    <w:multiLevelType w:val="hybridMultilevel"/>
    <w:tmpl w:val="54D25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291C94"/>
    <w:multiLevelType w:val="hybridMultilevel"/>
    <w:tmpl w:val="F066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9A78BC"/>
    <w:multiLevelType w:val="hybridMultilevel"/>
    <w:tmpl w:val="315A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12390"/>
    <w:multiLevelType w:val="hybridMultilevel"/>
    <w:tmpl w:val="0420B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D812326"/>
    <w:multiLevelType w:val="hybridMultilevel"/>
    <w:tmpl w:val="1E90CA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E9152D"/>
    <w:multiLevelType w:val="hybridMultilevel"/>
    <w:tmpl w:val="3A869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327425"/>
    <w:multiLevelType w:val="multilevel"/>
    <w:tmpl w:val="C3CE5D3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AA62082"/>
    <w:multiLevelType w:val="hybridMultilevel"/>
    <w:tmpl w:val="BAF26B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4E2FB9"/>
    <w:multiLevelType w:val="hybridMultilevel"/>
    <w:tmpl w:val="8A2414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D800E66"/>
    <w:multiLevelType w:val="hybridMultilevel"/>
    <w:tmpl w:val="1256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1A472B"/>
    <w:multiLevelType w:val="hybridMultilevel"/>
    <w:tmpl w:val="FE6884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CE5E23"/>
    <w:multiLevelType w:val="hybridMultilevel"/>
    <w:tmpl w:val="3EF22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7057588">
    <w:abstractNumId w:val="0"/>
  </w:num>
  <w:num w:numId="2" w16cid:durableId="199444068">
    <w:abstractNumId w:val="10"/>
  </w:num>
  <w:num w:numId="3" w16cid:durableId="1368529274">
    <w:abstractNumId w:val="16"/>
  </w:num>
  <w:num w:numId="4" w16cid:durableId="103351861">
    <w:abstractNumId w:val="12"/>
  </w:num>
  <w:num w:numId="5" w16cid:durableId="1569874944">
    <w:abstractNumId w:val="22"/>
  </w:num>
  <w:num w:numId="6" w16cid:durableId="736363650">
    <w:abstractNumId w:val="14"/>
  </w:num>
  <w:num w:numId="7" w16cid:durableId="1654798547">
    <w:abstractNumId w:val="29"/>
  </w:num>
  <w:num w:numId="8" w16cid:durableId="1667781361">
    <w:abstractNumId w:val="19"/>
  </w:num>
  <w:num w:numId="9" w16cid:durableId="1560245769">
    <w:abstractNumId w:val="7"/>
  </w:num>
  <w:num w:numId="10" w16cid:durableId="1598783205">
    <w:abstractNumId w:val="3"/>
  </w:num>
  <w:num w:numId="11" w16cid:durableId="982273439">
    <w:abstractNumId w:val="18"/>
  </w:num>
  <w:num w:numId="12" w16cid:durableId="322468492">
    <w:abstractNumId w:val="15"/>
  </w:num>
  <w:num w:numId="13" w16cid:durableId="1063799354">
    <w:abstractNumId w:val="28"/>
  </w:num>
  <w:num w:numId="14" w16cid:durableId="388772184">
    <w:abstractNumId w:val="5"/>
  </w:num>
  <w:num w:numId="15" w16cid:durableId="341321567">
    <w:abstractNumId w:val="4"/>
  </w:num>
  <w:num w:numId="16" w16cid:durableId="613562718">
    <w:abstractNumId w:val="20"/>
  </w:num>
  <w:num w:numId="17" w16cid:durableId="1427112730">
    <w:abstractNumId w:val="24"/>
  </w:num>
  <w:num w:numId="18" w16cid:durableId="1730616677">
    <w:abstractNumId w:val="2"/>
  </w:num>
  <w:num w:numId="19" w16cid:durableId="1231042196">
    <w:abstractNumId w:val="21"/>
  </w:num>
  <w:num w:numId="20" w16cid:durableId="1016426304">
    <w:abstractNumId w:val="30"/>
  </w:num>
  <w:num w:numId="21" w16cid:durableId="854465573">
    <w:abstractNumId w:val="26"/>
  </w:num>
  <w:num w:numId="22" w16cid:durableId="1269660124">
    <w:abstractNumId w:val="13"/>
  </w:num>
  <w:num w:numId="23" w16cid:durableId="2114935533">
    <w:abstractNumId w:val="25"/>
  </w:num>
  <w:num w:numId="24" w16cid:durableId="134029535">
    <w:abstractNumId w:val="17"/>
  </w:num>
  <w:num w:numId="25" w16cid:durableId="159464892">
    <w:abstractNumId w:val="31"/>
  </w:num>
  <w:num w:numId="26" w16cid:durableId="483357767">
    <w:abstractNumId w:val="8"/>
  </w:num>
  <w:num w:numId="27" w16cid:durableId="1856572495">
    <w:abstractNumId w:val="23"/>
  </w:num>
  <w:num w:numId="28" w16cid:durableId="382218826">
    <w:abstractNumId w:val="11"/>
  </w:num>
  <w:num w:numId="29" w16cid:durableId="900480205">
    <w:abstractNumId w:val="1"/>
  </w:num>
  <w:num w:numId="30" w16cid:durableId="937366884">
    <w:abstractNumId w:val="27"/>
  </w:num>
  <w:num w:numId="31" w16cid:durableId="1559975486">
    <w:abstractNumId w:val="9"/>
  </w:num>
  <w:num w:numId="32" w16cid:durableId="11621833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E4C"/>
    <w:rsid w:val="00010FAD"/>
    <w:rsid w:val="000110DE"/>
    <w:rsid w:val="00011615"/>
    <w:rsid w:val="00012656"/>
    <w:rsid w:val="000143E1"/>
    <w:rsid w:val="0001613E"/>
    <w:rsid w:val="00020EF9"/>
    <w:rsid w:val="0002118C"/>
    <w:rsid w:val="00021465"/>
    <w:rsid w:val="000253BE"/>
    <w:rsid w:val="00025776"/>
    <w:rsid w:val="000307ED"/>
    <w:rsid w:val="00030E1C"/>
    <w:rsid w:val="000319F3"/>
    <w:rsid w:val="00031D81"/>
    <w:rsid w:val="00033457"/>
    <w:rsid w:val="000336F5"/>
    <w:rsid w:val="00034CAB"/>
    <w:rsid w:val="00036390"/>
    <w:rsid w:val="0003785A"/>
    <w:rsid w:val="00040AFB"/>
    <w:rsid w:val="00041EC6"/>
    <w:rsid w:val="0004261E"/>
    <w:rsid w:val="000432E3"/>
    <w:rsid w:val="00043300"/>
    <w:rsid w:val="000443E5"/>
    <w:rsid w:val="000447A5"/>
    <w:rsid w:val="00045FC4"/>
    <w:rsid w:val="00046274"/>
    <w:rsid w:val="00046699"/>
    <w:rsid w:val="00046AD4"/>
    <w:rsid w:val="00050116"/>
    <w:rsid w:val="00050880"/>
    <w:rsid w:val="000519E3"/>
    <w:rsid w:val="00051B45"/>
    <w:rsid w:val="00051C34"/>
    <w:rsid w:val="000527E7"/>
    <w:rsid w:val="00052FAF"/>
    <w:rsid w:val="000531E9"/>
    <w:rsid w:val="0005366D"/>
    <w:rsid w:val="000538B1"/>
    <w:rsid w:val="000554A9"/>
    <w:rsid w:val="000562A3"/>
    <w:rsid w:val="000565D0"/>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C91"/>
    <w:rsid w:val="000755D7"/>
    <w:rsid w:val="000767D6"/>
    <w:rsid w:val="0007715C"/>
    <w:rsid w:val="0007789F"/>
    <w:rsid w:val="00080B15"/>
    <w:rsid w:val="00080DD9"/>
    <w:rsid w:val="00080FE7"/>
    <w:rsid w:val="0008105C"/>
    <w:rsid w:val="0008427E"/>
    <w:rsid w:val="00085149"/>
    <w:rsid w:val="0008518D"/>
    <w:rsid w:val="0008541E"/>
    <w:rsid w:val="00086EE5"/>
    <w:rsid w:val="000873B8"/>
    <w:rsid w:val="000900F7"/>
    <w:rsid w:val="0009017B"/>
    <w:rsid w:val="00092982"/>
    <w:rsid w:val="0009299A"/>
    <w:rsid w:val="0009344B"/>
    <w:rsid w:val="0009383A"/>
    <w:rsid w:val="000941C5"/>
    <w:rsid w:val="00094A14"/>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631"/>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C6C8E"/>
    <w:rsid w:val="000D0AD4"/>
    <w:rsid w:val="000D1817"/>
    <w:rsid w:val="000D1A58"/>
    <w:rsid w:val="000D1B43"/>
    <w:rsid w:val="000D1E54"/>
    <w:rsid w:val="000D2728"/>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3FB9"/>
    <w:rsid w:val="0010455E"/>
    <w:rsid w:val="00105762"/>
    <w:rsid w:val="001079DA"/>
    <w:rsid w:val="001100BE"/>
    <w:rsid w:val="00110DFD"/>
    <w:rsid w:val="00113D91"/>
    <w:rsid w:val="00114591"/>
    <w:rsid w:val="00114FC3"/>
    <w:rsid w:val="0011578C"/>
    <w:rsid w:val="00117294"/>
    <w:rsid w:val="00120015"/>
    <w:rsid w:val="00120646"/>
    <w:rsid w:val="00120EE3"/>
    <w:rsid w:val="001213B4"/>
    <w:rsid w:val="00121EF3"/>
    <w:rsid w:val="00122967"/>
    <w:rsid w:val="0012377A"/>
    <w:rsid w:val="001246C6"/>
    <w:rsid w:val="00124BCF"/>
    <w:rsid w:val="001255CA"/>
    <w:rsid w:val="00125898"/>
    <w:rsid w:val="001259CE"/>
    <w:rsid w:val="00125C8A"/>
    <w:rsid w:val="00125E07"/>
    <w:rsid w:val="00126ED4"/>
    <w:rsid w:val="00127477"/>
    <w:rsid w:val="00130058"/>
    <w:rsid w:val="00130759"/>
    <w:rsid w:val="0013078F"/>
    <w:rsid w:val="00130D50"/>
    <w:rsid w:val="00131428"/>
    <w:rsid w:val="0013154C"/>
    <w:rsid w:val="00132639"/>
    <w:rsid w:val="001329AC"/>
    <w:rsid w:val="00132CD2"/>
    <w:rsid w:val="0013390F"/>
    <w:rsid w:val="0013564D"/>
    <w:rsid w:val="00135864"/>
    <w:rsid w:val="00135D06"/>
    <w:rsid w:val="00137A93"/>
    <w:rsid w:val="00137B83"/>
    <w:rsid w:val="00137DAB"/>
    <w:rsid w:val="00141DD4"/>
    <w:rsid w:val="00143263"/>
    <w:rsid w:val="001435B5"/>
    <w:rsid w:val="001445C0"/>
    <w:rsid w:val="0014464A"/>
    <w:rsid w:val="0014496F"/>
    <w:rsid w:val="001455FE"/>
    <w:rsid w:val="001462DB"/>
    <w:rsid w:val="0014683D"/>
    <w:rsid w:val="00146A75"/>
    <w:rsid w:val="00147757"/>
    <w:rsid w:val="00147B4C"/>
    <w:rsid w:val="00147ED0"/>
    <w:rsid w:val="00150F85"/>
    <w:rsid w:val="00151A49"/>
    <w:rsid w:val="00151C32"/>
    <w:rsid w:val="00152886"/>
    <w:rsid w:val="00153180"/>
    <w:rsid w:val="00153C00"/>
    <w:rsid w:val="00153FDF"/>
    <w:rsid w:val="001544DD"/>
    <w:rsid w:val="00154919"/>
    <w:rsid w:val="00155452"/>
    <w:rsid w:val="00156328"/>
    <w:rsid w:val="001564BA"/>
    <w:rsid w:val="00156C65"/>
    <w:rsid w:val="00160D81"/>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39AB"/>
    <w:rsid w:val="00174011"/>
    <w:rsid w:val="00175CA6"/>
    <w:rsid w:val="00176B19"/>
    <w:rsid w:val="00177B25"/>
    <w:rsid w:val="00177D00"/>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30AF"/>
    <w:rsid w:val="001A52D9"/>
    <w:rsid w:val="001A67B4"/>
    <w:rsid w:val="001A7423"/>
    <w:rsid w:val="001A7BD7"/>
    <w:rsid w:val="001B027D"/>
    <w:rsid w:val="001B07E1"/>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70B"/>
    <w:rsid w:val="001E0A19"/>
    <w:rsid w:val="001E0CFE"/>
    <w:rsid w:val="001E121C"/>
    <w:rsid w:val="001E1724"/>
    <w:rsid w:val="001E1895"/>
    <w:rsid w:val="001E1E58"/>
    <w:rsid w:val="001E3AA0"/>
    <w:rsid w:val="001E3C84"/>
    <w:rsid w:val="001E4D03"/>
    <w:rsid w:val="001E5E9F"/>
    <w:rsid w:val="001E7CC9"/>
    <w:rsid w:val="001F0604"/>
    <w:rsid w:val="001F070E"/>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9BC"/>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0D03"/>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0ED"/>
    <w:rsid w:val="00265A6C"/>
    <w:rsid w:val="00265E0B"/>
    <w:rsid w:val="00270024"/>
    <w:rsid w:val="00271410"/>
    <w:rsid w:val="00272569"/>
    <w:rsid w:val="00273F7E"/>
    <w:rsid w:val="002742BF"/>
    <w:rsid w:val="00275867"/>
    <w:rsid w:val="002759D4"/>
    <w:rsid w:val="002760EE"/>
    <w:rsid w:val="00276215"/>
    <w:rsid w:val="0027737A"/>
    <w:rsid w:val="00280176"/>
    <w:rsid w:val="00280DC0"/>
    <w:rsid w:val="00281F4C"/>
    <w:rsid w:val="002833E7"/>
    <w:rsid w:val="00283E08"/>
    <w:rsid w:val="00283E42"/>
    <w:rsid w:val="00284EB9"/>
    <w:rsid w:val="00286236"/>
    <w:rsid w:val="00286CA5"/>
    <w:rsid w:val="0029067D"/>
    <w:rsid w:val="00290936"/>
    <w:rsid w:val="0029148F"/>
    <w:rsid w:val="00292DD8"/>
    <w:rsid w:val="00293CE8"/>
    <w:rsid w:val="0029447C"/>
    <w:rsid w:val="00294807"/>
    <w:rsid w:val="00295B72"/>
    <w:rsid w:val="00296966"/>
    <w:rsid w:val="002A02A9"/>
    <w:rsid w:val="002A3A29"/>
    <w:rsid w:val="002A5DB0"/>
    <w:rsid w:val="002A6CBA"/>
    <w:rsid w:val="002A7184"/>
    <w:rsid w:val="002A7FDF"/>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C7B87"/>
    <w:rsid w:val="002D01B0"/>
    <w:rsid w:val="002D1020"/>
    <w:rsid w:val="002D1953"/>
    <w:rsid w:val="002D24B9"/>
    <w:rsid w:val="002D2527"/>
    <w:rsid w:val="002D28C1"/>
    <w:rsid w:val="002D29C4"/>
    <w:rsid w:val="002D2D4C"/>
    <w:rsid w:val="002D3EC1"/>
    <w:rsid w:val="002D41E8"/>
    <w:rsid w:val="002D54F8"/>
    <w:rsid w:val="002D5FE5"/>
    <w:rsid w:val="002D60F8"/>
    <w:rsid w:val="002D787F"/>
    <w:rsid w:val="002D7DB5"/>
    <w:rsid w:val="002D7E4E"/>
    <w:rsid w:val="002E1A89"/>
    <w:rsid w:val="002E3222"/>
    <w:rsid w:val="002E5411"/>
    <w:rsid w:val="002E5A1E"/>
    <w:rsid w:val="002E5BF9"/>
    <w:rsid w:val="002E6207"/>
    <w:rsid w:val="002E64BE"/>
    <w:rsid w:val="002E64E3"/>
    <w:rsid w:val="002E7F2E"/>
    <w:rsid w:val="002F0215"/>
    <w:rsid w:val="002F0444"/>
    <w:rsid w:val="002F1A5A"/>
    <w:rsid w:val="002F2328"/>
    <w:rsid w:val="002F238A"/>
    <w:rsid w:val="002F3DC7"/>
    <w:rsid w:val="002F43F6"/>
    <w:rsid w:val="002F587D"/>
    <w:rsid w:val="002F5A2D"/>
    <w:rsid w:val="002F5F30"/>
    <w:rsid w:val="002F70CA"/>
    <w:rsid w:val="002F7FF6"/>
    <w:rsid w:val="003002B0"/>
    <w:rsid w:val="00300A11"/>
    <w:rsid w:val="00301FA2"/>
    <w:rsid w:val="003036EE"/>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17543"/>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4CD7"/>
    <w:rsid w:val="00335759"/>
    <w:rsid w:val="003358F9"/>
    <w:rsid w:val="0033604C"/>
    <w:rsid w:val="003366AD"/>
    <w:rsid w:val="00337206"/>
    <w:rsid w:val="00337EA8"/>
    <w:rsid w:val="0034012A"/>
    <w:rsid w:val="00340297"/>
    <w:rsid w:val="00340B9E"/>
    <w:rsid w:val="0034113C"/>
    <w:rsid w:val="003435C2"/>
    <w:rsid w:val="00343BFA"/>
    <w:rsid w:val="003459FF"/>
    <w:rsid w:val="00345AF4"/>
    <w:rsid w:val="003461DD"/>
    <w:rsid w:val="00346397"/>
    <w:rsid w:val="003472F1"/>
    <w:rsid w:val="00350B54"/>
    <w:rsid w:val="00350B59"/>
    <w:rsid w:val="0035108F"/>
    <w:rsid w:val="00351814"/>
    <w:rsid w:val="003526C1"/>
    <w:rsid w:val="0035285C"/>
    <w:rsid w:val="00353B0D"/>
    <w:rsid w:val="003544F9"/>
    <w:rsid w:val="003550AA"/>
    <w:rsid w:val="00355507"/>
    <w:rsid w:val="003555E7"/>
    <w:rsid w:val="00356017"/>
    <w:rsid w:val="00356FB0"/>
    <w:rsid w:val="00357E1B"/>
    <w:rsid w:val="00360523"/>
    <w:rsid w:val="0036063A"/>
    <w:rsid w:val="00363C22"/>
    <w:rsid w:val="00370395"/>
    <w:rsid w:val="00371C7A"/>
    <w:rsid w:val="003729C5"/>
    <w:rsid w:val="00374030"/>
    <w:rsid w:val="0037441C"/>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5B32"/>
    <w:rsid w:val="00396030"/>
    <w:rsid w:val="00396CA7"/>
    <w:rsid w:val="003970D8"/>
    <w:rsid w:val="003979A8"/>
    <w:rsid w:val="003A0E5B"/>
    <w:rsid w:val="003A13BB"/>
    <w:rsid w:val="003A2E68"/>
    <w:rsid w:val="003A30FF"/>
    <w:rsid w:val="003A315E"/>
    <w:rsid w:val="003A332D"/>
    <w:rsid w:val="003A39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39AB"/>
    <w:rsid w:val="003C4A4B"/>
    <w:rsid w:val="003C4E83"/>
    <w:rsid w:val="003C5082"/>
    <w:rsid w:val="003C54C6"/>
    <w:rsid w:val="003C5A8A"/>
    <w:rsid w:val="003C684E"/>
    <w:rsid w:val="003C6DAB"/>
    <w:rsid w:val="003D0244"/>
    <w:rsid w:val="003D0A39"/>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537"/>
    <w:rsid w:val="003F2737"/>
    <w:rsid w:val="003F390B"/>
    <w:rsid w:val="003F3EC4"/>
    <w:rsid w:val="003F3FCA"/>
    <w:rsid w:val="003F401B"/>
    <w:rsid w:val="003F44BE"/>
    <w:rsid w:val="003F4653"/>
    <w:rsid w:val="003F5C09"/>
    <w:rsid w:val="003F6100"/>
    <w:rsid w:val="003F629C"/>
    <w:rsid w:val="003F68B3"/>
    <w:rsid w:val="003F7A86"/>
    <w:rsid w:val="003F7DEF"/>
    <w:rsid w:val="00400A29"/>
    <w:rsid w:val="00400F79"/>
    <w:rsid w:val="004010DC"/>
    <w:rsid w:val="00401D64"/>
    <w:rsid w:val="004028C6"/>
    <w:rsid w:val="00402C0C"/>
    <w:rsid w:val="00402DF3"/>
    <w:rsid w:val="00402E47"/>
    <w:rsid w:val="004036DF"/>
    <w:rsid w:val="00403FE5"/>
    <w:rsid w:val="00405642"/>
    <w:rsid w:val="004064C8"/>
    <w:rsid w:val="00406FB2"/>
    <w:rsid w:val="0040784A"/>
    <w:rsid w:val="00407D9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6209"/>
    <w:rsid w:val="00426684"/>
    <w:rsid w:val="004269DB"/>
    <w:rsid w:val="00427C30"/>
    <w:rsid w:val="0043175B"/>
    <w:rsid w:val="004319AD"/>
    <w:rsid w:val="00431A8D"/>
    <w:rsid w:val="0043213F"/>
    <w:rsid w:val="004360FF"/>
    <w:rsid w:val="00436786"/>
    <w:rsid w:val="00437672"/>
    <w:rsid w:val="0044018B"/>
    <w:rsid w:val="004409E5"/>
    <w:rsid w:val="004412D1"/>
    <w:rsid w:val="004429C8"/>
    <w:rsid w:val="00442CE4"/>
    <w:rsid w:val="004439EF"/>
    <w:rsid w:val="00443B41"/>
    <w:rsid w:val="0044446E"/>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36AA"/>
    <w:rsid w:val="00466121"/>
    <w:rsid w:val="004679F9"/>
    <w:rsid w:val="0047112E"/>
    <w:rsid w:val="0047126A"/>
    <w:rsid w:val="00473683"/>
    <w:rsid w:val="004737EB"/>
    <w:rsid w:val="00475EC7"/>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067D"/>
    <w:rsid w:val="0049226F"/>
    <w:rsid w:val="0049234C"/>
    <w:rsid w:val="00492743"/>
    <w:rsid w:val="004927EF"/>
    <w:rsid w:val="0049346A"/>
    <w:rsid w:val="004934F4"/>
    <w:rsid w:val="00495543"/>
    <w:rsid w:val="00496DD4"/>
    <w:rsid w:val="004970F6"/>
    <w:rsid w:val="0049727C"/>
    <w:rsid w:val="00497294"/>
    <w:rsid w:val="00497703"/>
    <w:rsid w:val="004A06BE"/>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471"/>
    <w:rsid w:val="004B057B"/>
    <w:rsid w:val="004B0603"/>
    <w:rsid w:val="004B06AE"/>
    <w:rsid w:val="004B2033"/>
    <w:rsid w:val="004B3C11"/>
    <w:rsid w:val="004B3E40"/>
    <w:rsid w:val="004B4084"/>
    <w:rsid w:val="004B4685"/>
    <w:rsid w:val="004B58DC"/>
    <w:rsid w:val="004B7057"/>
    <w:rsid w:val="004B7F79"/>
    <w:rsid w:val="004C01EC"/>
    <w:rsid w:val="004C1058"/>
    <w:rsid w:val="004C1348"/>
    <w:rsid w:val="004C3B3D"/>
    <w:rsid w:val="004C3BFD"/>
    <w:rsid w:val="004C483E"/>
    <w:rsid w:val="004C523D"/>
    <w:rsid w:val="004C7AAC"/>
    <w:rsid w:val="004D013F"/>
    <w:rsid w:val="004D1E3B"/>
    <w:rsid w:val="004D25E1"/>
    <w:rsid w:val="004D2E26"/>
    <w:rsid w:val="004D332F"/>
    <w:rsid w:val="004D3672"/>
    <w:rsid w:val="004D3E3E"/>
    <w:rsid w:val="004D403F"/>
    <w:rsid w:val="004D55C3"/>
    <w:rsid w:val="004D6C5F"/>
    <w:rsid w:val="004D79DF"/>
    <w:rsid w:val="004E4268"/>
    <w:rsid w:val="004E4532"/>
    <w:rsid w:val="004E5665"/>
    <w:rsid w:val="004E5BFD"/>
    <w:rsid w:val="004E7522"/>
    <w:rsid w:val="004E7789"/>
    <w:rsid w:val="004F1952"/>
    <w:rsid w:val="004F2BE9"/>
    <w:rsid w:val="004F2C2D"/>
    <w:rsid w:val="004F31D8"/>
    <w:rsid w:val="004F6283"/>
    <w:rsid w:val="004F66BB"/>
    <w:rsid w:val="00500DBE"/>
    <w:rsid w:val="00501215"/>
    <w:rsid w:val="005012A3"/>
    <w:rsid w:val="00501885"/>
    <w:rsid w:val="005019DE"/>
    <w:rsid w:val="00501F3C"/>
    <w:rsid w:val="00503181"/>
    <w:rsid w:val="005042A3"/>
    <w:rsid w:val="005048B1"/>
    <w:rsid w:val="005062A1"/>
    <w:rsid w:val="0050647F"/>
    <w:rsid w:val="0050687E"/>
    <w:rsid w:val="0050775F"/>
    <w:rsid w:val="00507B1A"/>
    <w:rsid w:val="00507CA2"/>
    <w:rsid w:val="005101BE"/>
    <w:rsid w:val="00510539"/>
    <w:rsid w:val="005105F7"/>
    <w:rsid w:val="0051215D"/>
    <w:rsid w:val="0051242D"/>
    <w:rsid w:val="005131D9"/>
    <w:rsid w:val="0051381F"/>
    <w:rsid w:val="00513BDF"/>
    <w:rsid w:val="0051406C"/>
    <w:rsid w:val="00514574"/>
    <w:rsid w:val="00515756"/>
    <w:rsid w:val="005157F0"/>
    <w:rsid w:val="00516DD8"/>
    <w:rsid w:val="0052012A"/>
    <w:rsid w:val="00520834"/>
    <w:rsid w:val="00520A46"/>
    <w:rsid w:val="005219C1"/>
    <w:rsid w:val="00521A09"/>
    <w:rsid w:val="00521A1B"/>
    <w:rsid w:val="00522539"/>
    <w:rsid w:val="00523442"/>
    <w:rsid w:val="00523B40"/>
    <w:rsid w:val="005253B8"/>
    <w:rsid w:val="005253DC"/>
    <w:rsid w:val="00525C4F"/>
    <w:rsid w:val="005265AD"/>
    <w:rsid w:val="0052661F"/>
    <w:rsid w:val="00526CA9"/>
    <w:rsid w:val="00526E2F"/>
    <w:rsid w:val="0052731F"/>
    <w:rsid w:val="00531B34"/>
    <w:rsid w:val="00532089"/>
    <w:rsid w:val="0053357C"/>
    <w:rsid w:val="00533BA1"/>
    <w:rsid w:val="00534629"/>
    <w:rsid w:val="00537747"/>
    <w:rsid w:val="005404D7"/>
    <w:rsid w:val="00541123"/>
    <w:rsid w:val="00541373"/>
    <w:rsid w:val="00541391"/>
    <w:rsid w:val="00541C9F"/>
    <w:rsid w:val="00542364"/>
    <w:rsid w:val="00542707"/>
    <w:rsid w:val="00544D35"/>
    <w:rsid w:val="00545CB0"/>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575CE"/>
    <w:rsid w:val="00560D75"/>
    <w:rsid w:val="00560EB6"/>
    <w:rsid w:val="00561676"/>
    <w:rsid w:val="00561C6E"/>
    <w:rsid w:val="00562788"/>
    <w:rsid w:val="00562ED9"/>
    <w:rsid w:val="00563D2E"/>
    <w:rsid w:val="005648E9"/>
    <w:rsid w:val="005657A1"/>
    <w:rsid w:val="00565E21"/>
    <w:rsid w:val="00567703"/>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87DE4"/>
    <w:rsid w:val="00590387"/>
    <w:rsid w:val="00590923"/>
    <w:rsid w:val="00591A4F"/>
    <w:rsid w:val="00593ECF"/>
    <w:rsid w:val="0059461F"/>
    <w:rsid w:val="00595A32"/>
    <w:rsid w:val="00595A68"/>
    <w:rsid w:val="005966A5"/>
    <w:rsid w:val="005966E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211"/>
    <w:rsid w:val="005B2926"/>
    <w:rsid w:val="005B2C5A"/>
    <w:rsid w:val="005B70D3"/>
    <w:rsid w:val="005B7E4B"/>
    <w:rsid w:val="005C0E4A"/>
    <w:rsid w:val="005C16B2"/>
    <w:rsid w:val="005C2E8A"/>
    <w:rsid w:val="005C3272"/>
    <w:rsid w:val="005C32A1"/>
    <w:rsid w:val="005C3A78"/>
    <w:rsid w:val="005C436B"/>
    <w:rsid w:val="005C5842"/>
    <w:rsid w:val="005C646A"/>
    <w:rsid w:val="005C69C9"/>
    <w:rsid w:val="005C6A11"/>
    <w:rsid w:val="005C6A46"/>
    <w:rsid w:val="005C6C34"/>
    <w:rsid w:val="005C7D0A"/>
    <w:rsid w:val="005D0626"/>
    <w:rsid w:val="005D06DF"/>
    <w:rsid w:val="005D08E1"/>
    <w:rsid w:val="005D0B02"/>
    <w:rsid w:val="005D19B9"/>
    <w:rsid w:val="005D2269"/>
    <w:rsid w:val="005D27D0"/>
    <w:rsid w:val="005D2C22"/>
    <w:rsid w:val="005D5FE7"/>
    <w:rsid w:val="005D5FEC"/>
    <w:rsid w:val="005E0119"/>
    <w:rsid w:val="005E028B"/>
    <w:rsid w:val="005E0CAC"/>
    <w:rsid w:val="005E1399"/>
    <w:rsid w:val="005E1688"/>
    <w:rsid w:val="005E16AC"/>
    <w:rsid w:val="005E2234"/>
    <w:rsid w:val="005E2744"/>
    <w:rsid w:val="005E327B"/>
    <w:rsid w:val="005E3347"/>
    <w:rsid w:val="005E3782"/>
    <w:rsid w:val="005E44F3"/>
    <w:rsid w:val="005E5C79"/>
    <w:rsid w:val="005E5FEF"/>
    <w:rsid w:val="005E740C"/>
    <w:rsid w:val="005F0493"/>
    <w:rsid w:val="005F0766"/>
    <w:rsid w:val="005F0A2B"/>
    <w:rsid w:val="005F15D5"/>
    <w:rsid w:val="005F1C42"/>
    <w:rsid w:val="005F41A8"/>
    <w:rsid w:val="005F4441"/>
    <w:rsid w:val="005F48B3"/>
    <w:rsid w:val="005F56D5"/>
    <w:rsid w:val="005F594F"/>
    <w:rsid w:val="005F64E0"/>
    <w:rsid w:val="005F7BD8"/>
    <w:rsid w:val="006008B5"/>
    <w:rsid w:val="00600C3E"/>
    <w:rsid w:val="00600D3C"/>
    <w:rsid w:val="006010A0"/>
    <w:rsid w:val="00601138"/>
    <w:rsid w:val="0060130F"/>
    <w:rsid w:val="006015B9"/>
    <w:rsid w:val="00601A87"/>
    <w:rsid w:val="006039F3"/>
    <w:rsid w:val="00606523"/>
    <w:rsid w:val="00606B89"/>
    <w:rsid w:val="006078DE"/>
    <w:rsid w:val="00610651"/>
    <w:rsid w:val="006109D4"/>
    <w:rsid w:val="00610AAD"/>
    <w:rsid w:val="00610F60"/>
    <w:rsid w:val="00611147"/>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2DC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392"/>
    <w:rsid w:val="00637EAA"/>
    <w:rsid w:val="006416E7"/>
    <w:rsid w:val="00641964"/>
    <w:rsid w:val="006451B9"/>
    <w:rsid w:val="0064620A"/>
    <w:rsid w:val="00646394"/>
    <w:rsid w:val="00647BC0"/>
    <w:rsid w:val="006513DD"/>
    <w:rsid w:val="00651503"/>
    <w:rsid w:val="00651A06"/>
    <w:rsid w:val="00651F58"/>
    <w:rsid w:val="006522C8"/>
    <w:rsid w:val="0065293E"/>
    <w:rsid w:val="00652A9C"/>
    <w:rsid w:val="00653235"/>
    <w:rsid w:val="00653D8B"/>
    <w:rsid w:val="0065632F"/>
    <w:rsid w:val="00656A2E"/>
    <w:rsid w:val="00656E3C"/>
    <w:rsid w:val="006571E3"/>
    <w:rsid w:val="006576F3"/>
    <w:rsid w:val="00657E16"/>
    <w:rsid w:val="006601AF"/>
    <w:rsid w:val="00660570"/>
    <w:rsid w:val="006612B7"/>
    <w:rsid w:val="00662000"/>
    <w:rsid w:val="00662242"/>
    <w:rsid w:val="006622A4"/>
    <w:rsid w:val="0066463A"/>
    <w:rsid w:val="00664C75"/>
    <w:rsid w:val="0066500B"/>
    <w:rsid w:val="00665565"/>
    <w:rsid w:val="00666694"/>
    <w:rsid w:val="00667680"/>
    <w:rsid w:val="00670A6A"/>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1DF"/>
    <w:rsid w:val="006908C1"/>
    <w:rsid w:val="00690B53"/>
    <w:rsid w:val="00690C51"/>
    <w:rsid w:val="00691BD9"/>
    <w:rsid w:val="006931ED"/>
    <w:rsid w:val="00694113"/>
    <w:rsid w:val="006943D0"/>
    <w:rsid w:val="00694685"/>
    <w:rsid w:val="006948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67"/>
    <w:rsid w:val="006A607A"/>
    <w:rsid w:val="006A6F7C"/>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588"/>
    <w:rsid w:val="006C6C19"/>
    <w:rsid w:val="006D1070"/>
    <w:rsid w:val="006D4620"/>
    <w:rsid w:val="006D5DC6"/>
    <w:rsid w:val="006D6580"/>
    <w:rsid w:val="006D746A"/>
    <w:rsid w:val="006D7657"/>
    <w:rsid w:val="006D792A"/>
    <w:rsid w:val="006E07FB"/>
    <w:rsid w:val="006E2101"/>
    <w:rsid w:val="006E555C"/>
    <w:rsid w:val="006E564F"/>
    <w:rsid w:val="006E7FE8"/>
    <w:rsid w:val="006F1856"/>
    <w:rsid w:val="006F1DC0"/>
    <w:rsid w:val="006F20C0"/>
    <w:rsid w:val="006F2B9E"/>
    <w:rsid w:val="006F315E"/>
    <w:rsid w:val="006F3377"/>
    <w:rsid w:val="006F385B"/>
    <w:rsid w:val="006F40CA"/>
    <w:rsid w:val="006F4CCE"/>
    <w:rsid w:val="006F697A"/>
    <w:rsid w:val="006F7EFF"/>
    <w:rsid w:val="00701340"/>
    <w:rsid w:val="00702E98"/>
    <w:rsid w:val="0070402E"/>
    <w:rsid w:val="00705B9E"/>
    <w:rsid w:val="00706972"/>
    <w:rsid w:val="00706DE2"/>
    <w:rsid w:val="00707060"/>
    <w:rsid w:val="00707DB7"/>
    <w:rsid w:val="0071022E"/>
    <w:rsid w:val="0071081B"/>
    <w:rsid w:val="00711273"/>
    <w:rsid w:val="007116D3"/>
    <w:rsid w:val="00711853"/>
    <w:rsid w:val="007119B1"/>
    <w:rsid w:val="00714189"/>
    <w:rsid w:val="007148BD"/>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37A34"/>
    <w:rsid w:val="007417C7"/>
    <w:rsid w:val="00742B80"/>
    <w:rsid w:val="00742CAB"/>
    <w:rsid w:val="007473CC"/>
    <w:rsid w:val="007479D9"/>
    <w:rsid w:val="00747F3F"/>
    <w:rsid w:val="00750E95"/>
    <w:rsid w:val="0075123D"/>
    <w:rsid w:val="007519A3"/>
    <w:rsid w:val="007527B7"/>
    <w:rsid w:val="00753A28"/>
    <w:rsid w:val="007543CD"/>
    <w:rsid w:val="00754AFF"/>
    <w:rsid w:val="007569DD"/>
    <w:rsid w:val="00756E5B"/>
    <w:rsid w:val="00756E82"/>
    <w:rsid w:val="00757653"/>
    <w:rsid w:val="007577F6"/>
    <w:rsid w:val="00757F5F"/>
    <w:rsid w:val="00761B28"/>
    <w:rsid w:val="007620A5"/>
    <w:rsid w:val="007623A5"/>
    <w:rsid w:val="00764646"/>
    <w:rsid w:val="0076550E"/>
    <w:rsid w:val="007657AE"/>
    <w:rsid w:val="00765831"/>
    <w:rsid w:val="00765DA4"/>
    <w:rsid w:val="007664C6"/>
    <w:rsid w:val="007673B4"/>
    <w:rsid w:val="00767F40"/>
    <w:rsid w:val="00770BB1"/>
    <w:rsid w:val="0077181A"/>
    <w:rsid w:val="00772060"/>
    <w:rsid w:val="00772A6F"/>
    <w:rsid w:val="00773BA0"/>
    <w:rsid w:val="00775444"/>
    <w:rsid w:val="00776719"/>
    <w:rsid w:val="007774AC"/>
    <w:rsid w:val="00780A37"/>
    <w:rsid w:val="00782726"/>
    <w:rsid w:val="00782C40"/>
    <w:rsid w:val="00782E7D"/>
    <w:rsid w:val="00784639"/>
    <w:rsid w:val="0078468E"/>
    <w:rsid w:val="007846CF"/>
    <w:rsid w:val="00786960"/>
    <w:rsid w:val="00786BA4"/>
    <w:rsid w:val="00787CFD"/>
    <w:rsid w:val="00790CB4"/>
    <w:rsid w:val="007917D2"/>
    <w:rsid w:val="007918C4"/>
    <w:rsid w:val="0079278A"/>
    <w:rsid w:val="00792D82"/>
    <w:rsid w:val="00792DD7"/>
    <w:rsid w:val="00793EEB"/>
    <w:rsid w:val="007948EB"/>
    <w:rsid w:val="00794AC4"/>
    <w:rsid w:val="00795286"/>
    <w:rsid w:val="00795D4A"/>
    <w:rsid w:val="0079649F"/>
    <w:rsid w:val="00796FF7"/>
    <w:rsid w:val="007A14AA"/>
    <w:rsid w:val="007A150C"/>
    <w:rsid w:val="007A1CB1"/>
    <w:rsid w:val="007A277A"/>
    <w:rsid w:val="007A2F14"/>
    <w:rsid w:val="007A44BE"/>
    <w:rsid w:val="007A4AC6"/>
    <w:rsid w:val="007A52F1"/>
    <w:rsid w:val="007A5AA9"/>
    <w:rsid w:val="007A60D1"/>
    <w:rsid w:val="007A6BA6"/>
    <w:rsid w:val="007A7787"/>
    <w:rsid w:val="007A7854"/>
    <w:rsid w:val="007A7F0E"/>
    <w:rsid w:val="007B0951"/>
    <w:rsid w:val="007B0BD6"/>
    <w:rsid w:val="007B0F66"/>
    <w:rsid w:val="007B1B5C"/>
    <w:rsid w:val="007B21B7"/>
    <w:rsid w:val="007B452E"/>
    <w:rsid w:val="007B481B"/>
    <w:rsid w:val="007B540D"/>
    <w:rsid w:val="007B61D3"/>
    <w:rsid w:val="007B6412"/>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27A9"/>
    <w:rsid w:val="007D6417"/>
    <w:rsid w:val="007D7626"/>
    <w:rsid w:val="007D77CA"/>
    <w:rsid w:val="007D7888"/>
    <w:rsid w:val="007E0346"/>
    <w:rsid w:val="007E0599"/>
    <w:rsid w:val="007E0729"/>
    <w:rsid w:val="007E0842"/>
    <w:rsid w:val="007E0C1D"/>
    <w:rsid w:val="007E1995"/>
    <w:rsid w:val="007E1A42"/>
    <w:rsid w:val="007E2305"/>
    <w:rsid w:val="007E2367"/>
    <w:rsid w:val="007E2B86"/>
    <w:rsid w:val="007E3341"/>
    <w:rsid w:val="007E40C5"/>
    <w:rsid w:val="007E5237"/>
    <w:rsid w:val="007E6C97"/>
    <w:rsid w:val="007E755B"/>
    <w:rsid w:val="007F1505"/>
    <w:rsid w:val="007F1613"/>
    <w:rsid w:val="007F16B0"/>
    <w:rsid w:val="007F32EC"/>
    <w:rsid w:val="007F3B9B"/>
    <w:rsid w:val="007F40A7"/>
    <w:rsid w:val="007F5AFC"/>
    <w:rsid w:val="007F5B00"/>
    <w:rsid w:val="007F62A8"/>
    <w:rsid w:val="007F67BE"/>
    <w:rsid w:val="007F6A4F"/>
    <w:rsid w:val="007F7470"/>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6A05"/>
    <w:rsid w:val="00817415"/>
    <w:rsid w:val="0081781A"/>
    <w:rsid w:val="008202B8"/>
    <w:rsid w:val="00820EE4"/>
    <w:rsid w:val="0082179A"/>
    <w:rsid w:val="00821CA1"/>
    <w:rsid w:val="00823127"/>
    <w:rsid w:val="008234C6"/>
    <w:rsid w:val="00824750"/>
    <w:rsid w:val="008268E8"/>
    <w:rsid w:val="008277A3"/>
    <w:rsid w:val="00827ACF"/>
    <w:rsid w:val="00830CB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4673E"/>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0EBB"/>
    <w:rsid w:val="008815C1"/>
    <w:rsid w:val="00881DCB"/>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3FB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B7143"/>
    <w:rsid w:val="008C1C23"/>
    <w:rsid w:val="008C254B"/>
    <w:rsid w:val="008C28F6"/>
    <w:rsid w:val="008C350D"/>
    <w:rsid w:val="008C45B8"/>
    <w:rsid w:val="008C4928"/>
    <w:rsid w:val="008C6BD7"/>
    <w:rsid w:val="008C78FF"/>
    <w:rsid w:val="008D0BE3"/>
    <w:rsid w:val="008D21F8"/>
    <w:rsid w:val="008D279D"/>
    <w:rsid w:val="008D3F34"/>
    <w:rsid w:val="008D6F19"/>
    <w:rsid w:val="008E0170"/>
    <w:rsid w:val="008E1818"/>
    <w:rsid w:val="008E2AE0"/>
    <w:rsid w:val="008E30E0"/>
    <w:rsid w:val="008E331C"/>
    <w:rsid w:val="008E39A4"/>
    <w:rsid w:val="008E4515"/>
    <w:rsid w:val="008E4633"/>
    <w:rsid w:val="008E4661"/>
    <w:rsid w:val="008E4D24"/>
    <w:rsid w:val="008E6829"/>
    <w:rsid w:val="008E754A"/>
    <w:rsid w:val="008F061F"/>
    <w:rsid w:val="008F21B7"/>
    <w:rsid w:val="008F229D"/>
    <w:rsid w:val="008F24A8"/>
    <w:rsid w:val="008F28A8"/>
    <w:rsid w:val="008F3029"/>
    <w:rsid w:val="008F360A"/>
    <w:rsid w:val="008F4168"/>
    <w:rsid w:val="008F6950"/>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7B3"/>
    <w:rsid w:val="009448E5"/>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5E2E"/>
    <w:rsid w:val="009666B0"/>
    <w:rsid w:val="0097004B"/>
    <w:rsid w:val="00970138"/>
    <w:rsid w:val="009704BD"/>
    <w:rsid w:val="009725CD"/>
    <w:rsid w:val="009733F5"/>
    <w:rsid w:val="00973B52"/>
    <w:rsid w:val="0097414E"/>
    <w:rsid w:val="00974F0B"/>
    <w:rsid w:val="00975EBF"/>
    <w:rsid w:val="00976061"/>
    <w:rsid w:val="00976321"/>
    <w:rsid w:val="00976DCF"/>
    <w:rsid w:val="00977B22"/>
    <w:rsid w:val="00977FE8"/>
    <w:rsid w:val="00980BCB"/>
    <w:rsid w:val="0098144C"/>
    <w:rsid w:val="00982616"/>
    <w:rsid w:val="0098276D"/>
    <w:rsid w:val="00984560"/>
    <w:rsid w:val="00984A0B"/>
    <w:rsid w:val="0098647F"/>
    <w:rsid w:val="00986F00"/>
    <w:rsid w:val="00987965"/>
    <w:rsid w:val="00987BD2"/>
    <w:rsid w:val="009919B2"/>
    <w:rsid w:val="0099212B"/>
    <w:rsid w:val="0099260A"/>
    <w:rsid w:val="00992897"/>
    <w:rsid w:val="00994D15"/>
    <w:rsid w:val="00994EC6"/>
    <w:rsid w:val="009A0FA5"/>
    <w:rsid w:val="009A26E7"/>
    <w:rsid w:val="009A2925"/>
    <w:rsid w:val="009A2FFD"/>
    <w:rsid w:val="009A3E1B"/>
    <w:rsid w:val="009A4E52"/>
    <w:rsid w:val="009A74E8"/>
    <w:rsid w:val="009A7D70"/>
    <w:rsid w:val="009B1032"/>
    <w:rsid w:val="009B1C92"/>
    <w:rsid w:val="009B1F36"/>
    <w:rsid w:val="009B23FF"/>
    <w:rsid w:val="009B28EA"/>
    <w:rsid w:val="009B4BF0"/>
    <w:rsid w:val="009B4FEC"/>
    <w:rsid w:val="009B5D2A"/>
    <w:rsid w:val="009B61CF"/>
    <w:rsid w:val="009B7D54"/>
    <w:rsid w:val="009C0178"/>
    <w:rsid w:val="009C1E59"/>
    <w:rsid w:val="009C3DC6"/>
    <w:rsid w:val="009C4DFF"/>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3AF"/>
    <w:rsid w:val="009E79D6"/>
    <w:rsid w:val="009F1921"/>
    <w:rsid w:val="009F1B44"/>
    <w:rsid w:val="009F2674"/>
    <w:rsid w:val="009F2BBD"/>
    <w:rsid w:val="009F30DE"/>
    <w:rsid w:val="009F31DD"/>
    <w:rsid w:val="009F4B8E"/>
    <w:rsid w:val="009F66C3"/>
    <w:rsid w:val="009F7DE3"/>
    <w:rsid w:val="009F7F57"/>
    <w:rsid w:val="00A00BD7"/>
    <w:rsid w:val="00A014F4"/>
    <w:rsid w:val="00A01B39"/>
    <w:rsid w:val="00A02B19"/>
    <w:rsid w:val="00A04E61"/>
    <w:rsid w:val="00A07763"/>
    <w:rsid w:val="00A11E8C"/>
    <w:rsid w:val="00A13B8E"/>
    <w:rsid w:val="00A169EE"/>
    <w:rsid w:val="00A16CC1"/>
    <w:rsid w:val="00A20F2B"/>
    <w:rsid w:val="00A23A6F"/>
    <w:rsid w:val="00A23DAC"/>
    <w:rsid w:val="00A246AD"/>
    <w:rsid w:val="00A25880"/>
    <w:rsid w:val="00A260EE"/>
    <w:rsid w:val="00A2645E"/>
    <w:rsid w:val="00A275EB"/>
    <w:rsid w:val="00A27853"/>
    <w:rsid w:val="00A30344"/>
    <w:rsid w:val="00A30512"/>
    <w:rsid w:val="00A30B2E"/>
    <w:rsid w:val="00A30CAC"/>
    <w:rsid w:val="00A31260"/>
    <w:rsid w:val="00A32D61"/>
    <w:rsid w:val="00A33617"/>
    <w:rsid w:val="00A33C0C"/>
    <w:rsid w:val="00A34A6A"/>
    <w:rsid w:val="00A353E5"/>
    <w:rsid w:val="00A357C9"/>
    <w:rsid w:val="00A367B4"/>
    <w:rsid w:val="00A3682E"/>
    <w:rsid w:val="00A37101"/>
    <w:rsid w:val="00A372BF"/>
    <w:rsid w:val="00A3739A"/>
    <w:rsid w:val="00A37E8B"/>
    <w:rsid w:val="00A409D5"/>
    <w:rsid w:val="00A4259F"/>
    <w:rsid w:val="00A42E58"/>
    <w:rsid w:val="00A4358F"/>
    <w:rsid w:val="00A43D17"/>
    <w:rsid w:val="00A4478D"/>
    <w:rsid w:val="00A4515C"/>
    <w:rsid w:val="00A4545D"/>
    <w:rsid w:val="00A45483"/>
    <w:rsid w:val="00A46318"/>
    <w:rsid w:val="00A46E23"/>
    <w:rsid w:val="00A472EB"/>
    <w:rsid w:val="00A51837"/>
    <w:rsid w:val="00A51C65"/>
    <w:rsid w:val="00A52CC9"/>
    <w:rsid w:val="00A5360B"/>
    <w:rsid w:val="00A551F5"/>
    <w:rsid w:val="00A55560"/>
    <w:rsid w:val="00A56513"/>
    <w:rsid w:val="00A568B3"/>
    <w:rsid w:val="00A56D56"/>
    <w:rsid w:val="00A56F87"/>
    <w:rsid w:val="00A60310"/>
    <w:rsid w:val="00A60D54"/>
    <w:rsid w:val="00A618EB"/>
    <w:rsid w:val="00A63054"/>
    <w:rsid w:val="00A630B5"/>
    <w:rsid w:val="00A6365C"/>
    <w:rsid w:val="00A63C83"/>
    <w:rsid w:val="00A65034"/>
    <w:rsid w:val="00A65F41"/>
    <w:rsid w:val="00A65FFF"/>
    <w:rsid w:val="00A66D73"/>
    <w:rsid w:val="00A67427"/>
    <w:rsid w:val="00A72CED"/>
    <w:rsid w:val="00A72E49"/>
    <w:rsid w:val="00A735EC"/>
    <w:rsid w:val="00A73840"/>
    <w:rsid w:val="00A74225"/>
    <w:rsid w:val="00A7461E"/>
    <w:rsid w:val="00A75881"/>
    <w:rsid w:val="00A76EB9"/>
    <w:rsid w:val="00A774DB"/>
    <w:rsid w:val="00A779A9"/>
    <w:rsid w:val="00A80540"/>
    <w:rsid w:val="00A81E0C"/>
    <w:rsid w:val="00A8233A"/>
    <w:rsid w:val="00A82974"/>
    <w:rsid w:val="00A839AB"/>
    <w:rsid w:val="00A856F4"/>
    <w:rsid w:val="00A85775"/>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A7B32"/>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35FB"/>
    <w:rsid w:val="00AC3C93"/>
    <w:rsid w:val="00AC448A"/>
    <w:rsid w:val="00AC4C3D"/>
    <w:rsid w:val="00AC5715"/>
    <w:rsid w:val="00AC6914"/>
    <w:rsid w:val="00AC6A10"/>
    <w:rsid w:val="00AC78B3"/>
    <w:rsid w:val="00AD08E3"/>
    <w:rsid w:val="00AD1105"/>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F1B20"/>
    <w:rsid w:val="00AF1DE9"/>
    <w:rsid w:val="00AF3A21"/>
    <w:rsid w:val="00AF3A9E"/>
    <w:rsid w:val="00AF3F86"/>
    <w:rsid w:val="00AF50E5"/>
    <w:rsid w:val="00AF59DF"/>
    <w:rsid w:val="00AF666B"/>
    <w:rsid w:val="00AF7277"/>
    <w:rsid w:val="00B017B7"/>
    <w:rsid w:val="00B025BB"/>
    <w:rsid w:val="00B06AE6"/>
    <w:rsid w:val="00B070DF"/>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465A"/>
    <w:rsid w:val="00B252FA"/>
    <w:rsid w:val="00B25707"/>
    <w:rsid w:val="00B258F8"/>
    <w:rsid w:val="00B26262"/>
    <w:rsid w:val="00B26CC6"/>
    <w:rsid w:val="00B27058"/>
    <w:rsid w:val="00B27295"/>
    <w:rsid w:val="00B30A46"/>
    <w:rsid w:val="00B31BA7"/>
    <w:rsid w:val="00B343A8"/>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66A2B"/>
    <w:rsid w:val="00B71335"/>
    <w:rsid w:val="00B71D12"/>
    <w:rsid w:val="00B727D3"/>
    <w:rsid w:val="00B739E9"/>
    <w:rsid w:val="00B73FEA"/>
    <w:rsid w:val="00B741BD"/>
    <w:rsid w:val="00B74E29"/>
    <w:rsid w:val="00B777A6"/>
    <w:rsid w:val="00B77837"/>
    <w:rsid w:val="00B77BDE"/>
    <w:rsid w:val="00B81393"/>
    <w:rsid w:val="00B813E6"/>
    <w:rsid w:val="00B822C4"/>
    <w:rsid w:val="00B830D3"/>
    <w:rsid w:val="00B834DE"/>
    <w:rsid w:val="00B839C1"/>
    <w:rsid w:val="00B85E89"/>
    <w:rsid w:val="00B86F96"/>
    <w:rsid w:val="00B92753"/>
    <w:rsid w:val="00B9290D"/>
    <w:rsid w:val="00B93591"/>
    <w:rsid w:val="00B948A5"/>
    <w:rsid w:val="00B94DBE"/>
    <w:rsid w:val="00B97ADB"/>
    <w:rsid w:val="00BA0032"/>
    <w:rsid w:val="00BA1B67"/>
    <w:rsid w:val="00BA1DEC"/>
    <w:rsid w:val="00BA2544"/>
    <w:rsid w:val="00BA356C"/>
    <w:rsid w:val="00BA424C"/>
    <w:rsid w:val="00BA455E"/>
    <w:rsid w:val="00BA4613"/>
    <w:rsid w:val="00BA4A19"/>
    <w:rsid w:val="00BA530D"/>
    <w:rsid w:val="00BA6703"/>
    <w:rsid w:val="00BA6968"/>
    <w:rsid w:val="00BA71FB"/>
    <w:rsid w:val="00BA7565"/>
    <w:rsid w:val="00BA7619"/>
    <w:rsid w:val="00BA7A86"/>
    <w:rsid w:val="00BB08C1"/>
    <w:rsid w:val="00BB2BDA"/>
    <w:rsid w:val="00BB45F4"/>
    <w:rsid w:val="00BB587C"/>
    <w:rsid w:val="00BB6F08"/>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4F88"/>
    <w:rsid w:val="00BE550E"/>
    <w:rsid w:val="00BE5CE2"/>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16EFD"/>
    <w:rsid w:val="00C211F1"/>
    <w:rsid w:val="00C217FB"/>
    <w:rsid w:val="00C2261C"/>
    <w:rsid w:val="00C22EB8"/>
    <w:rsid w:val="00C230D2"/>
    <w:rsid w:val="00C24355"/>
    <w:rsid w:val="00C246A2"/>
    <w:rsid w:val="00C24E1A"/>
    <w:rsid w:val="00C2560D"/>
    <w:rsid w:val="00C25987"/>
    <w:rsid w:val="00C25CEA"/>
    <w:rsid w:val="00C261D6"/>
    <w:rsid w:val="00C26AAA"/>
    <w:rsid w:val="00C26BEA"/>
    <w:rsid w:val="00C26F90"/>
    <w:rsid w:val="00C314F1"/>
    <w:rsid w:val="00C33D6E"/>
    <w:rsid w:val="00C34F13"/>
    <w:rsid w:val="00C35223"/>
    <w:rsid w:val="00C3634D"/>
    <w:rsid w:val="00C379AC"/>
    <w:rsid w:val="00C4094C"/>
    <w:rsid w:val="00C4135A"/>
    <w:rsid w:val="00C413E9"/>
    <w:rsid w:val="00C43DD9"/>
    <w:rsid w:val="00C44381"/>
    <w:rsid w:val="00C44677"/>
    <w:rsid w:val="00C45452"/>
    <w:rsid w:val="00C45794"/>
    <w:rsid w:val="00C466B0"/>
    <w:rsid w:val="00C46FA0"/>
    <w:rsid w:val="00C475B5"/>
    <w:rsid w:val="00C50942"/>
    <w:rsid w:val="00C50E12"/>
    <w:rsid w:val="00C535DF"/>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75366"/>
    <w:rsid w:val="00C75C35"/>
    <w:rsid w:val="00C81215"/>
    <w:rsid w:val="00C84566"/>
    <w:rsid w:val="00C84B5F"/>
    <w:rsid w:val="00C84BAA"/>
    <w:rsid w:val="00C853F3"/>
    <w:rsid w:val="00C85A0C"/>
    <w:rsid w:val="00C85DA8"/>
    <w:rsid w:val="00C875C0"/>
    <w:rsid w:val="00C90573"/>
    <w:rsid w:val="00C90F00"/>
    <w:rsid w:val="00C916EA"/>
    <w:rsid w:val="00C919A8"/>
    <w:rsid w:val="00C92F5C"/>
    <w:rsid w:val="00C93A3A"/>
    <w:rsid w:val="00C9427A"/>
    <w:rsid w:val="00C94441"/>
    <w:rsid w:val="00C94CA8"/>
    <w:rsid w:val="00C95FE6"/>
    <w:rsid w:val="00C9661C"/>
    <w:rsid w:val="00C96B9E"/>
    <w:rsid w:val="00CA1006"/>
    <w:rsid w:val="00CA176F"/>
    <w:rsid w:val="00CA2755"/>
    <w:rsid w:val="00CA3FBD"/>
    <w:rsid w:val="00CA58E9"/>
    <w:rsid w:val="00CA5D5A"/>
    <w:rsid w:val="00CA6F24"/>
    <w:rsid w:val="00CA72B2"/>
    <w:rsid w:val="00CA7904"/>
    <w:rsid w:val="00CB097D"/>
    <w:rsid w:val="00CB1DC2"/>
    <w:rsid w:val="00CB24AB"/>
    <w:rsid w:val="00CB2929"/>
    <w:rsid w:val="00CB31C3"/>
    <w:rsid w:val="00CB32EE"/>
    <w:rsid w:val="00CB34EF"/>
    <w:rsid w:val="00CB4426"/>
    <w:rsid w:val="00CB57B7"/>
    <w:rsid w:val="00CB5D1F"/>
    <w:rsid w:val="00CB5D3B"/>
    <w:rsid w:val="00CB5F2A"/>
    <w:rsid w:val="00CB652B"/>
    <w:rsid w:val="00CB7553"/>
    <w:rsid w:val="00CB76B5"/>
    <w:rsid w:val="00CB7973"/>
    <w:rsid w:val="00CB7EA9"/>
    <w:rsid w:val="00CC04C3"/>
    <w:rsid w:val="00CC0A0D"/>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D7E54"/>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48C"/>
    <w:rsid w:val="00D02EB3"/>
    <w:rsid w:val="00D03529"/>
    <w:rsid w:val="00D040A4"/>
    <w:rsid w:val="00D04E75"/>
    <w:rsid w:val="00D04FF5"/>
    <w:rsid w:val="00D05809"/>
    <w:rsid w:val="00D0653E"/>
    <w:rsid w:val="00D06621"/>
    <w:rsid w:val="00D07FCA"/>
    <w:rsid w:val="00D1070B"/>
    <w:rsid w:val="00D10AB5"/>
    <w:rsid w:val="00D10E26"/>
    <w:rsid w:val="00D12080"/>
    <w:rsid w:val="00D1267C"/>
    <w:rsid w:val="00D12692"/>
    <w:rsid w:val="00D139E9"/>
    <w:rsid w:val="00D14688"/>
    <w:rsid w:val="00D168D1"/>
    <w:rsid w:val="00D17515"/>
    <w:rsid w:val="00D17617"/>
    <w:rsid w:val="00D209DC"/>
    <w:rsid w:val="00D221C8"/>
    <w:rsid w:val="00D22BE2"/>
    <w:rsid w:val="00D22F99"/>
    <w:rsid w:val="00D237CB"/>
    <w:rsid w:val="00D245EA"/>
    <w:rsid w:val="00D251C0"/>
    <w:rsid w:val="00D26DD5"/>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5F9A"/>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3684"/>
    <w:rsid w:val="00D74E18"/>
    <w:rsid w:val="00D751A9"/>
    <w:rsid w:val="00D773EC"/>
    <w:rsid w:val="00D77BF9"/>
    <w:rsid w:val="00D80454"/>
    <w:rsid w:val="00D80ED7"/>
    <w:rsid w:val="00D81AB3"/>
    <w:rsid w:val="00D8363A"/>
    <w:rsid w:val="00D8367C"/>
    <w:rsid w:val="00D844D7"/>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5A1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221"/>
    <w:rsid w:val="00DD1CA4"/>
    <w:rsid w:val="00DD1F9A"/>
    <w:rsid w:val="00DD2C0E"/>
    <w:rsid w:val="00DD3716"/>
    <w:rsid w:val="00DD3A45"/>
    <w:rsid w:val="00DD4400"/>
    <w:rsid w:val="00DD57ED"/>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2A8"/>
    <w:rsid w:val="00DF785A"/>
    <w:rsid w:val="00DF7E9D"/>
    <w:rsid w:val="00E00876"/>
    <w:rsid w:val="00E02CA9"/>
    <w:rsid w:val="00E038A5"/>
    <w:rsid w:val="00E05735"/>
    <w:rsid w:val="00E05D65"/>
    <w:rsid w:val="00E07FB9"/>
    <w:rsid w:val="00E10DFA"/>
    <w:rsid w:val="00E10FB8"/>
    <w:rsid w:val="00E110CA"/>
    <w:rsid w:val="00E11240"/>
    <w:rsid w:val="00E1136B"/>
    <w:rsid w:val="00E12D1A"/>
    <w:rsid w:val="00E130B3"/>
    <w:rsid w:val="00E13874"/>
    <w:rsid w:val="00E13F45"/>
    <w:rsid w:val="00E13FD9"/>
    <w:rsid w:val="00E144A8"/>
    <w:rsid w:val="00E16C50"/>
    <w:rsid w:val="00E174E6"/>
    <w:rsid w:val="00E21E03"/>
    <w:rsid w:val="00E2220C"/>
    <w:rsid w:val="00E22893"/>
    <w:rsid w:val="00E23A83"/>
    <w:rsid w:val="00E24694"/>
    <w:rsid w:val="00E249CC"/>
    <w:rsid w:val="00E26605"/>
    <w:rsid w:val="00E30D91"/>
    <w:rsid w:val="00E31153"/>
    <w:rsid w:val="00E320A3"/>
    <w:rsid w:val="00E32A69"/>
    <w:rsid w:val="00E33984"/>
    <w:rsid w:val="00E358A4"/>
    <w:rsid w:val="00E35B63"/>
    <w:rsid w:val="00E35BCC"/>
    <w:rsid w:val="00E36107"/>
    <w:rsid w:val="00E40A1A"/>
    <w:rsid w:val="00E41CCF"/>
    <w:rsid w:val="00E41E54"/>
    <w:rsid w:val="00E43343"/>
    <w:rsid w:val="00E44665"/>
    <w:rsid w:val="00E44BF7"/>
    <w:rsid w:val="00E44DAE"/>
    <w:rsid w:val="00E4510B"/>
    <w:rsid w:val="00E45EF4"/>
    <w:rsid w:val="00E504AB"/>
    <w:rsid w:val="00E50719"/>
    <w:rsid w:val="00E5115C"/>
    <w:rsid w:val="00E51C29"/>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142"/>
    <w:rsid w:val="00E6039B"/>
    <w:rsid w:val="00E607E5"/>
    <w:rsid w:val="00E61DC2"/>
    <w:rsid w:val="00E61F90"/>
    <w:rsid w:val="00E62323"/>
    <w:rsid w:val="00E634A5"/>
    <w:rsid w:val="00E642AD"/>
    <w:rsid w:val="00E72A14"/>
    <w:rsid w:val="00E74296"/>
    <w:rsid w:val="00E7461F"/>
    <w:rsid w:val="00E755EE"/>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751"/>
    <w:rsid w:val="00E858F1"/>
    <w:rsid w:val="00E87DDF"/>
    <w:rsid w:val="00E91F41"/>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3D6"/>
    <w:rsid w:val="00EB4470"/>
    <w:rsid w:val="00EB4D16"/>
    <w:rsid w:val="00EB4EF9"/>
    <w:rsid w:val="00EB5456"/>
    <w:rsid w:val="00EB5AF8"/>
    <w:rsid w:val="00EB7E55"/>
    <w:rsid w:val="00EC063E"/>
    <w:rsid w:val="00EC11A6"/>
    <w:rsid w:val="00EC17D1"/>
    <w:rsid w:val="00EC20EF"/>
    <w:rsid w:val="00EC2E96"/>
    <w:rsid w:val="00EC3452"/>
    <w:rsid w:val="00EC3A29"/>
    <w:rsid w:val="00EC3BA7"/>
    <w:rsid w:val="00EC3D61"/>
    <w:rsid w:val="00EC4EE7"/>
    <w:rsid w:val="00EC6804"/>
    <w:rsid w:val="00EC7132"/>
    <w:rsid w:val="00ED013B"/>
    <w:rsid w:val="00ED0393"/>
    <w:rsid w:val="00ED10AC"/>
    <w:rsid w:val="00ED134B"/>
    <w:rsid w:val="00ED19E8"/>
    <w:rsid w:val="00ED1C41"/>
    <w:rsid w:val="00ED4583"/>
    <w:rsid w:val="00ED5867"/>
    <w:rsid w:val="00ED626C"/>
    <w:rsid w:val="00ED686F"/>
    <w:rsid w:val="00EE1AAB"/>
    <w:rsid w:val="00EE3028"/>
    <w:rsid w:val="00EE37AA"/>
    <w:rsid w:val="00EE4C35"/>
    <w:rsid w:val="00EE4F36"/>
    <w:rsid w:val="00EE555B"/>
    <w:rsid w:val="00EE69FA"/>
    <w:rsid w:val="00EE7077"/>
    <w:rsid w:val="00EE7493"/>
    <w:rsid w:val="00EF034C"/>
    <w:rsid w:val="00EF0D18"/>
    <w:rsid w:val="00EF0EF5"/>
    <w:rsid w:val="00EF1710"/>
    <w:rsid w:val="00EF2766"/>
    <w:rsid w:val="00EF2851"/>
    <w:rsid w:val="00EF394C"/>
    <w:rsid w:val="00EF3FFC"/>
    <w:rsid w:val="00EF4283"/>
    <w:rsid w:val="00EF4667"/>
    <w:rsid w:val="00EF46AC"/>
    <w:rsid w:val="00EF4F90"/>
    <w:rsid w:val="00EF5152"/>
    <w:rsid w:val="00EF7F22"/>
    <w:rsid w:val="00F00471"/>
    <w:rsid w:val="00F0135D"/>
    <w:rsid w:val="00F01400"/>
    <w:rsid w:val="00F0390C"/>
    <w:rsid w:val="00F04BA9"/>
    <w:rsid w:val="00F05906"/>
    <w:rsid w:val="00F05957"/>
    <w:rsid w:val="00F05FED"/>
    <w:rsid w:val="00F07831"/>
    <w:rsid w:val="00F07B70"/>
    <w:rsid w:val="00F07FB9"/>
    <w:rsid w:val="00F11138"/>
    <w:rsid w:val="00F11368"/>
    <w:rsid w:val="00F11424"/>
    <w:rsid w:val="00F1145C"/>
    <w:rsid w:val="00F11DEB"/>
    <w:rsid w:val="00F125A2"/>
    <w:rsid w:val="00F13CF8"/>
    <w:rsid w:val="00F15260"/>
    <w:rsid w:val="00F15A2E"/>
    <w:rsid w:val="00F175C6"/>
    <w:rsid w:val="00F203C2"/>
    <w:rsid w:val="00F205FC"/>
    <w:rsid w:val="00F21094"/>
    <w:rsid w:val="00F215A6"/>
    <w:rsid w:val="00F21763"/>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4BCF"/>
    <w:rsid w:val="00F37F90"/>
    <w:rsid w:val="00F4094E"/>
    <w:rsid w:val="00F41DC8"/>
    <w:rsid w:val="00F429F7"/>
    <w:rsid w:val="00F42CD5"/>
    <w:rsid w:val="00F42DB9"/>
    <w:rsid w:val="00F471D3"/>
    <w:rsid w:val="00F47B33"/>
    <w:rsid w:val="00F50727"/>
    <w:rsid w:val="00F51F2F"/>
    <w:rsid w:val="00F5226C"/>
    <w:rsid w:val="00F52D54"/>
    <w:rsid w:val="00F53772"/>
    <w:rsid w:val="00F53C36"/>
    <w:rsid w:val="00F553C1"/>
    <w:rsid w:val="00F55870"/>
    <w:rsid w:val="00F56206"/>
    <w:rsid w:val="00F56A0C"/>
    <w:rsid w:val="00F5786C"/>
    <w:rsid w:val="00F60945"/>
    <w:rsid w:val="00F616DF"/>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2D45"/>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A7070"/>
    <w:rsid w:val="00FB1ED0"/>
    <w:rsid w:val="00FB39B6"/>
    <w:rsid w:val="00FB455C"/>
    <w:rsid w:val="00FB510D"/>
    <w:rsid w:val="00FB7663"/>
    <w:rsid w:val="00FB7703"/>
    <w:rsid w:val="00FB7856"/>
    <w:rsid w:val="00FC07EC"/>
    <w:rsid w:val="00FC2431"/>
    <w:rsid w:val="00FC3457"/>
    <w:rsid w:val="00FC3FA2"/>
    <w:rsid w:val="00FC4C8F"/>
    <w:rsid w:val="00FC51A3"/>
    <w:rsid w:val="00FC541C"/>
    <w:rsid w:val="00FC65FC"/>
    <w:rsid w:val="00FD1952"/>
    <w:rsid w:val="00FD23E7"/>
    <w:rsid w:val="00FD41F4"/>
    <w:rsid w:val="00FD619D"/>
    <w:rsid w:val="00FD6247"/>
    <w:rsid w:val="00FD6E53"/>
    <w:rsid w:val="00FD7624"/>
    <w:rsid w:val="00FE123D"/>
    <w:rsid w:val="00FE2B06"/>
    <w:rsid w:val="00FE3FB7"/>
    <w:rsid w:val="00FE426F"/>
    <w:rsid w:val="00FE46DC"/>
    <w:rsid w:val="00FE532E"/>
    <w:rsid w:val="00FE5649"/>
    <w:rsid w:val="00FE569F"/>
    <w:rsid w:val="00FE66F9"/>
    <w:rsid w:val="00FE6A3D"/>
    <w:rsid w:val="00FE6E6B"/>
    <w:rsid w:val="00FE704A"/>
    <w:rsid w:val="00FE7B3B"/>
    <w:rsid w:val="00FE7EDF"/>
    <w:rsid w:val="00FF0085"/>
    <w:rsid w:val="00FF0AFB"/>
    <w:rsid w:val="00FF2D5F"/>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customStyle="1" w:styleId="UnresolvedMention6">
    <w:name w:val="Unresolved Mention6"/>
    <w:basedOn w:val="DefaultParagraphFont"/>
    <w:uiPriority w:val="99"/>
    <w:semiHidden/>
    <w:unhideWhenUsed/>
    <w:rsid w:val="00127477"/>
    <w:rPr>
      <w:color w:val="605E5C"/>
      <w:shd w:val="clear" w:color="auto" w:fill="E1DFDD"/>
    </w:rPr>
  </w:style>
  <w:style w:type="table" w:styleId="ListTable7Colorful">
    <w:name w:val="List Table 7 Colorful"/>
    <w:basedOn w:val="TableNormal"/>
    <w:uiPriority w:val="52"/>
    <w:rsid w:val="00C535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F1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125583308">
      <w:bodyDiv w:val="1"/>
      <w:marLeft w:val="0"/>
      <w:marRight w:val="0"/>
      <w:marTop w:val="0"/>
      <w:marBottom w:val="0"/>
      <w:divBdr>
        <w:top w:val="none" w:sz="0" w:space="0" w:color="auto"/>
        <w:left w:val="none" w:sz="0" w:space="0" w:color="auto"/>
        <w:bottom w:val="none" w:sz="0" w:space="0" w:color="auto"/>
        <w:right w:val="none" w:sz="0" w:space="0" w:color="auto"/>
      </w:divBdr>
    </w:div>
    <w:div w:id="130945344">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373698159">
      <w:bodyDiv w:val="1"/>
      <w:marLeft w:val="0"/>
      <w:marRight w:val="0"/>
      <w:marTop w:val="0"/>
      <w:marBottom w:val="0"/>
      <w:divBdr>
        <w:top w:val="none" w:sz="0" w:space="0" w:color="auto"/>
        <w:left w:val="none" w:sz="0" w:space="0" w:color="auto"/>
        <w:bottom w:val="none" w:sz="0" w:space="0" w:color="auto"/>
        <w:right w:val="none" w:sz="0" w:space="0" w:color="auto"/>
      </w:divBdr>
    </w:div>
    <w:div w:id="430665607">
      <w:bodyDiv w:val="1"/>
      <w:marLeft w:val="0"/>
      <w:marRight w:val="0"/>
      <w:marTop w:val="0"/>
      <w:marBottom w:val="0"/>
      <w:divBdr>
        <w:top w:val="none" w:sz="0" w:space="0" w:color="auto"/>
        <w:left w:val="none" w:sz="0" w:space="0" w:color="auto"/>
        <w:bottom w:val="none" w:sz="0" w:space="0" w:color="auto"/>
        <w:right w:val="none" w:sz="0" w:space="0" w:color="auto"/>
      </w:divBdr>
    </w:div>
    <w:div w:id="437214495">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593821901">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655304595">
      <w:bodyDiv w:val="1"/>
      <w:marLeft w:val="0"/>
      <w:marRight w:val="0"/>
      <w:marTop w:val="0"/>
      <w:marBottom w:val="0"/>
      <w:divBdr>
        <w:top w:val="none" w:sz="0" w:space="0" w:color="auto"/>
        <w:left w:val="none" w:sz="0" w:space="0" w:color="auto"/>
        <w:bottom w:val="none" w:sz="0" w:space="0" w:color="auto"/>
        <w:right w:val="none" w:sz="0" w:space="0" w:color="auto"/>
      </w:divBdr>
    </w:div>
    <w:div w:id="682513612">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14129499">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349331883">
      <w:bodyDiv w:val="1"/>
      <w:marLeft w:val="0"/>
      <w:marRight w:val="0"/>
      <w:marTop w:val="0"/>
      <w:marBottom w:val="0"/>
      <w:divBdr>
        <w:top w:val="none" w:sz="0" w:space="0" w:color="auto"/>
        <w:left w:val="none" w:sz="0" w:space="0" w:color="auto"/>
        <w:bottom w:val="none" w:sz="0" w:space="0" w:color="auto"/>
        <w:right w:val="none" w:sz="0" w:space="0" w:color="auto"/>
      </w:divBdr>
    </w:div>
    <w:div w:id="1375278617">
      <w:bodyDiv w:val="1"/>
      <w:marLeft w:val="0"/>
      <w:marRight w:val="0"/>
      <w:marTop w:val="0"/>
      <w:marBottom w:val="0"/>
      <w:divBdr>
        <w:top w:val="none" w:sz="0" w:space="0" w:color="auto"/>
        <w:left w:val="none" w:sz="0" w:space="0" w:color="auto"/>
        <w:bottom w:val="none" w:sz="0" w:space="0" w:color="auto"/>
        <w:right w:val="none" w:sz="0" w:space="0" w:color="auto"/>
      </w:divBdr>
    </w:div>
    <w:div w:id="1413968082">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43325196">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witter.com/msdanimalheal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linkedin.com/showcase/msd-animal-health"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msd-animal-health.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solidFill>
                  <a:schemeClr val="tx1"/>
                </a:solidFill>
                <a:latin typeface="Arial" panose="020B0604020202020204" pitchFamily="34" charset="0"/>
                <a:cs typeface="Arial" panose="020B0604020202020204" pitchFamily="34" charset="0"/>
              </a:rPr>
              <a:t>Total food and beverage dollar and unit sales at retail</a:t>
            </a:r>
          </a:p>
        </c:rich>
      </c:tx>
      <c:layout>
        <c:manualLayout>
          <c:xMode val="edge"/>
          <c:yMode val="edge"/>
          <c:x val="1.9178837720901756E-2"/>
          <c:y val="2.9077186247241482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1.359180578052E-2"/>
          <c:y val="0.26244995494966117"/>
          <c:w val="0.94280930400941265"/>
          <c:h val="0.62914717749833504"/>
        </c:manualLayout>
      </c:layout>
      <c:barChart>
        <c:barDir val="col"/>
        <c:grouping val="clustered"/>
        <c:varyColors val="0"/>
        <c:ser>
          <c:idx val="0"/>
          <c:order val="0"/>
          <c:tx>
            <c:strRef>
              <c:f>Sheet1!$B$1</c:f>
              <c:strCache>
                <c:ptCount val="1"/>
                <c:pt idx="0">
                  <c:v>Dollars vs. YA</c:v>
                </c:pt>
              </c:strCache>
            </c:strRef>
          </c:tx>
          <c:spPr>
            <a:solidFill>
              <a:srgbClr val="17365D"/>
            </a:solidFill>
            <a:ln>
              <a:noFill/>
            </a:ln>
            <a:effectLst/>
          </c:spPr>
          <c:invertIfNegative val="0"/>
          <c:dPt>
            <c:idx val="0"/>
            <c:invertIfNegative val="0"/>
            <c:bubble3D val="0"/>
            <c:spPr>
              <a:solidFill>
                <a:srgbClr val="17365D"/>
              </a:solidFill>
              <a:ln>
                <a:noFill/>
              </a:ln>
              <a:effectLst/>
            </c:spPr>
            <c:extLst>
              <c:ext xmlns:c16="http://schemas.microsoft.com/office/drawing/2014/chart" uri="{C3380CC4-5D6E-409C-BE32-E72D297353CC}">
                <c16:uniqueId val="{00000001-3D11-4EAF-8C6D-AAAD4C4B2904}"/>
              </c:ext>
            </c:extLst>
          </c:dPt>
          <c:dPt>
            <c:idx val="1"/>
            <c:invertIfNegative val="0"/>
            <c:bubble3D val="0"/>
            <c:spPr>
              <a:solidFill>
                <a:srgbClr val="17365D"/>
              </a:solidFill>
              <a:ln>
                <a:noFill/>
              </a:ln>
              <a:effectLst/>
            </c:spPr>
            <c:extLst>
              <c:ext xmlns:c16="http://schemas.microsoft.com/office/drawing/2014/chart" uri="{C3380CC4-5D6E-409C-BE32-E72D297353CC}">
                <c16:uniqueId val="{00000003-3D11-4EAF-8C6D-AAAD4C4B2904}"/>
              </c:ext>
            </c:extLst>
          </c:dPt>
          <c:dPt>
            <c:idx val="3"/>
            <c:invertIfNegative val="0"/>
            <c:bubble3D val="0"/>
            <c:spPr>
              <a:solidFill>
                <a:srgbClr val="17365D"/>
              </a:solidFill>
              <a:ln>
                <a:noFill/>
              </a:ln>
              <a:effectLst/>
            </c:spPr>
            <c:extLst>
              <c:ext xmlns:c16="http://schemas.microsoft.com/office/drawing/2014/chart" uri="{C3380CC4-5D6E-409C-BE32-E72D297353CC}">
                <c16:uniqueId val="{00000005-3D11-4EAF-8C6D-AAAD4C4B2904}"/>
              </c:ext>
            </c:extLst>
          </c:dPt>
          <c:dPt>
            <c:idx val="4"/>
            <c:invertIfNegative val="0"/>
            <c:bubble3D val="0"/>
            <c:spPr>
              <a:solidFill>
                <a:srgbClr val="17365D"/>
              </a:solidFill>
              <a:ln>
                <a:noFill/>
              </a:ln>
              <a:effectLst/>
            </c:spPr>
            <c:extLst>
              <c:ext xmlns:c16="http://schemas.microsoft.com/office/drawing/2014/chart" uri="{C3380CC4-5D6E-409C-BE32-E72D297353CC}">
                <c16:uniqueId val="{00000007-3D11-4EAF-8C6D-AAAD4C4B2904}"/>
              </c:ext>
            </c:extLst>
          </c:dPt>
          <c:dPt>
            <c:idx val="5"/>
            <c:invertIfNegative val="0"/>
            <c:bubble3D val="0"/>
            <c:spPr>
              <a:solidFill>
                <a:srgbClr val="17365D"/>
              </a:solidFill>
              <a:ln>
                <a:noFill/>
              </a:ln>
              <a:effectLst/>
            </c:spPr>
            <c:extLst>
              <c:ext xmlns:c16="http://schemas.microsoft.com/office/drawing/2014/chart" uri="{C3380CC4-5D6E-409C-BE32-E72D297353CC}">
                <c16:uniqueId val="{00000009-3D11-4EAF-8C6D-AAAD4C4B2904}"/>
              </c:ext>
            </c:extLst>
          </c:dPt>
          <c:dPt>
            <c:idx val="6"/>
            <c:invertIfNegative val="0"/>
            <c:bubble3D val="0"/>
            <c:spPr>
              <a:solidFill>
                <a:srgbClr val="17365D"/>
              </a:solidFill>
              <a:ln>
                <a:noFill/>
              </a:ln>
              <a:effectLst/>
            </c:spPr>
            <c:extLst>
              <c:ext xmlns:c16="http://schemas.microsoft.com/office/drawing/2014/chart" uri="{C3380CC4-5D6E-409C-BE32-E72D297353CC}">
                <c16:uniqueId val="{0000000B-3D11-4EAF-8C6D-AAAD4C4B2904}"/>
              </c:ext>
            </c:extLst>
          </c:dPt>
          <c:dLbls>
            <c:dLbl>
              <c:idx val="3"/>
              <c:layout>
                <c:manualLayout>
                  <c:x val="-2.5763235862424319E-3"/>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11-4EAF-8C6D-AAAD4C4B2904}"/>
                </c:ext>
              </c:extLst>
            </c:dLbl>
            <c:dLbl>
              <c:idx val="5"/>
              <c:layout>
                <c:manualLayout>
                  <c:x val="-1.0305294344969823E-2"/>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11-4EAF-8C6D-AAAD4C4B290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CY 2025</c:v>
                </c:pt>
                <c:pt idx="1">
                  <c:v>Q4 2025</c:v>
                </c:pt>
                <c:pt idx="2">
                  <c:v>Q1 2026</c:v>
                </c:pt>
                <c:pt idx="3">
                  <c:v>w.e. 04-05-26</c:v>
                </c:pt>
                <c:pt idx="4">
                  <c:v>w.e. 04-12-26</c:v>
                </c:pt>
                <c:pt idx="5">
                  <c:v>w.e. 04-19-26</c:v>
                </c:pt>
                <c:pt idx="6">
                  <c:v>w.e. 04-26-26</c:v>
                </c:pt>
              </c:strCache>
            </c:strRef>
          </c:cat>
          <c:val>
            <c:numRef>
              <c:f>Sheet1!$B$2:$B$8</c:f>
              <c:numCache>
                <c:formatCode>0.0%</c:formatCode>
                <c:ptCount val="7"/>
                <c:pt idx="0">
                  <c:v>3.4000000000000002E-2</c:v>
                </c:pt>
                <c:pt idx="1">
                  <c:v>2.4E-2</c:v>
                </c:pt>
                <c:pt idx="2">
                  <c:v>2.3E-2</c:v>
                </c:pt>
                <c:pt idx="3">
                  <c:v>9.4E-2</c:v>
                </c:pt>
                <c:pt idx="4">
                  <c:v>-2.8000000000000001E-2</c:v>
                </c:pt>
                <c:pt idx="5">
                  <c:v>-8.4000000000000005E-2</c:v>
                </c:pt>
                <c:pt idx="6">
                  <c:v>3.1E-2</c:v>
                </c:pt>
              </c:numCache>
            </c:numRef>
          </c:val>
          <c:extLst>
            <c:ext xmlns:c16="http://schemas.microsoft.com/office/drawing/2014/chart" uri="{C3380CC4-5D6E-409C-BE32-E72D297353CC}">
              <c16:uniqueId val="{0000000C-3D11-4EAF-8C6D-AAAD4C4B2904}"/>
            </c:ext>
          </c:extLst>
        </c:ser>
        <c:ser>
          <c:idx val="1"/>
          <c:order val="1"/>
          <c:tx>
            <c:strRef>
              <c:f>Sheet1!$C$1</c:f>
              <c:strCache>
                <c:ptCount val="1"/>
                <c:pt idx="0">
                  <c:v>Units vs. YA</c:v>
                </c:pt>
              </c:strCache>
            </c:strRef>
          </c:tx>
          <c:spPr>
            <a:solidFill>
              <a:schemeClr val="tx1">
                <a:lumMod val="50000"/>
                <a:lumOff val="50000"/>
              </a:schemeClr>
            </a:solidFill>
            <a:ln>
              <a:noFill/>
            </a:ln>
            <a:effectLst/>
          </c:spPr>
          <c:invertIfNegative val="0"/>
          <c:dLbls>
            <c:dLbl>
              <c:idx val="0"/>
              <c:layout>
                <c:manualLayout>
                  <c:x val="1.052077853761178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D11-4EAF-8C6D-AAAD4C4B2904}"/>
                </c:ext>
              </c:extLst>
            </c:dLbl>
            <c:dLbl>
              <c:idx val="1"/>
              <c:layout>
                <c:manualLayout>
                  <c:x val="5.6737588652481753E-3"/>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D11-4EAF-8C6D-AAAD4C4B2904}"/>
                </c:ext>
              </c:extLst>
            </c:dLbl>
            <c:dLbl>
              <c:idx val="2"/>
              <c:layout>
                <c:manualLayout>
                  <c:x val="0"/>
                  <c:y val="1.32680429871639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D11-4EAF-8C6D-AAAD4C4B2904}"/>
                </c:ext>
              </c:extLst>
            </c:dLbl>
            <c:dLbl>
              <c:idx val="3"/>
              <c:layout>
                <c:manualLayout>
                  <c:x val="5.6737948333554786E-3"/>
                  <c:y val="6.63454381635131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D11-4EAF-8C6D-AAAD4C4B2904}"/>
                </c:ext>
              </c:extLst>
            </c:dLbl>
            <c:dLbl>
              <c:idx val="4"/>
              <c:layout>
                <c:manualLayout>
                  <c:x val="1.6239561578697971E-2"/>
                  <c:y val="5.2232276935532309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D11-4EAF-8C6D-AAAD4C4B2904}"/>
                </c:ext>
              </c:extLst>
            </c:dLbl>
            <c:dLbl>
              <c:idx val="5"/>
              <c:layout>
                <c:manualLayout>
                  <c:x val="1.2881617931212255E-2"/>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D11-4EAF-8C6D-AAAD4C4B2904}"/>
                </c:ext>
              </c:extLst>
            </c:dLbl>
            <c:dLbl>
              <c:idx val="6"/>
              <c:layout>
                <c:manualLayout>
                  <c:x val="8.51063829787234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D11-4EAF-8C6D-AAAD4C4B290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CY 2025</c:v>
                </c:pt>
                <c:pt idx="1">
                  <c:v>Q4 2025</c:v>
                </c:pt>
                <c:pt idx="2">
                  <c:v>Q1 2026</c:v>
                </c:pt>
                <c:pt idx="3">
                  <c:v>w.e. 04-05-26</c:v>
                </c:pt>
                <c:pt idx="4">
                  <c:v>w.e. 04-12-26</c:v>
                </c:pt>
                <c:pt idx="5">
                  <c:v>w.e. 04-19-26</c:v>
                </c:pt>
                <c:pt idx="6">
                  <c:v>w.e. 04-26-26</c:v>
                </c:pt>
              </c:strCache>
            </c:strRef>
          </c:cat>
          <c:val>
            <c:numRef>
              <c:f>Sheet1!$C$2:$C$8</c:f>
              <c:numCache>
                <c:formatCode>0.0%</c:formatCode>
                <c:ptCount val="7"/>
                <c:pt idx="0">
                  <c:v>6.0000000000000001E-3</c:v>
                </c:pt>
                <c:pt idx="1">
                  <c:v>5.0000000000000001E-3</c:v>
                </c:pt>
                <c:pt idx="2">
                  <c:v>5.0000000000000001E-3</c:v>
                </c:pt>
                <c:pt idx="3">
                  <c:v>8.4000000000000005E-2</c:v>
                </c:pt>
                <c:pt idx="4">
                  <c:v>-4.7E-2</c:v>
                </c:pt>
                <c:pt idx="5">
                  <c:v>-0.109</c:v>
                </c:pt>
                <c:pt idx="6">
                  <c:v>7.0000000000000001E-3</c:v>
                </c:pt>
              </c:numCache>
            </c:numRef>
          </c:val>
          <c:extLst>
            <c:ext xmlns:c16="http://schemas.microsoft.com/office/drawing/2014/chart" uri="{C3380CC4-5D6E-409C-BE32-E72D297353CC}">
              <c16:uniqueId val="{00000014-3D11-4EAF-8C6D-AAAD4C4B2904}"/>
            </c:ext>
          </c:extLst>
        </c:ser>
        <c:dLbls>
          <c:dLblPos val="outEnd"/>
          <c:showLegendKey val="0"/>
          <c:showVal val="1"/>
          <c:showCatName val="0"/>
          <c:showSerName val="0"/>
          <c:showPercent val="0"/>
          <c:showBubbleSize val="0"/>
        </c:dLbls>
        <c:gapWidth val="219"/>
        <c:overlap val="-27"/>
        <c:axId val="1572581904"/>
        <c:axId val="1572585744"/>
      </c:barChart>
      <c:catAx>
        <c:axId val="15725819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nl-NL"/>
          </a:p>
        </c:txPr>
        <c:crossAx val="1572585744"/>
        <c:crosses val="autoZero"/>
        <c:auto val="1"/>
        <c:lblAlgn val="ctr"/>
        <c:lblOffset val="100"/>
        <c:noMultiLvlLbl val="0"/>
      </c:catAx>
      <c:valAx>
        <c:axId val="157258574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572581904"/>
        <c:crosses val="autoZero"/>
        <c:crossBetween val="between"/>
      </c:valAx>
      <c:spPr>
        <a:noFill/>
        <a:ln>
          <a:noFill/>
        </a:ln>
        <a:effectLst/>
      </c:spPr>
    </c:plotArea>
    <c:legend>
      <c:legendPos val="b"/>
      <c:layout>
        <c:manualLayout>
          <c:xMode val="edge"/>
          <c:yMode val="edge"/>
          <c:x val="7.6623846004391398E-3"/>
          <c:y val="0.10245674514566276"/>
          <c:w val="0.33580013495925115"/>
          <c:h val="0.1193009410409064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5.8343220796030631E-2"/>
          <c:y val="0.11920627226089252"/>
          <c:w val="0.92072831649468478"/>
          <c:h val="0.73366024754393222"/>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7"/>
              <c:layout>
                <c:manualLayout>
                  <c:x val="-3.8532191181581826E-2"/>
                  <c:y val="5.6227622129596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41-4768-BA34-C3C0E650E3A8}"/>
                </c:ext>
              </c:extLst>
            </c:dLbl>
            <c:dLbl>
              <c:idx val="8"/>
              <c:layout>
                <c:manualLayout>
                  <c:x val="-3.6629603662555882E-2"/>
                  <c:y val="6.5735585048541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41-4768-BA34-C3C0E650E3A8}"/>
                </c:ext>
              </c:extLst>
            </c:dLbl>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3.8517060367454066E-2"/>
                  <c:y val="-4.14704401550471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4.4384593356778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3.2398069248193294E-2"/>
                  <c:y val="-5.03394230463289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2.4498136363091599E-2"/>
                  <c:y val="-4.52650157499031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2.0677381080789699E-2"/>
                  <c:y val="-3.9773979999588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Q1 26</c:v>
                </c:pt>
                <c:pt idx="16">
                  <c:v>Apr 26</c:v>
                </c:pt>
              </c:strCache>
            </c:strRef>
          </c:cat>
          <c:val>
            <c:numRef>
              <c:f>Sheet1!$B$2:$B$18</c:f>
              <c:numCache>
                <c:formatCode>0.0%</c:formatCode>
                <c:ptCount val="17"/>
                <c:pt idx="0">
                  <c:v>0.2048200166972387</c:v>
                </c:pt>
                <c:pt idx="1">
                  <c:v>9.8277108965361945E-2</c:v>
                </c:pt>
                <c:pt idx="2">
                  <c:v>-3.5999999999999997E-2</c:v>
                </c:pt>
                <c:pt idx="3">
                  <c:v>4.5887546751452145E-2</c:v>
                </c:pt>
                <c:pt idx="4">
                  <c:v>4.0676270782707222E-3</c:v>
                </c:pt>
                <c:pt idx="5">
                  <c:v>-9.0413468779247368E-3</c:v>
                </c:pt>
                <c:pt idx="6">
                  <c:v>-2.9790484393234711E-2</c:v>
                </c:pt>
                <c:pt idx="7">
                  <c:v>-4.4999999999999998E-2</c:v>
                </c:pt>
                <c:pt idx="8">
                  <c:v>-1.4999999999999999E-2</c:v>
                </c:pt>
                <c:pt idx="9">
                  <c:v>4.0000000000000001E-3</c:v>
                </c:pt>
                <c:pt idx="10">
                  <c:v>2.3E-2</c:v>
                </c:pt>
                <c:pt idx="11">
                  <c:v>2.5000000000000001E-2</c:v>
                </c:pt>
                <c:pt idx="12">
                  <c:v>5.0999999999999997E-2</c:v>
                </c:pt>
                <c:pt idx="13">
                  <c:v>0.05</c:v>
                </c:pt>
                <c:pt idx="14">
                  <c:v>4.8000000000000001E-2</c:v>
                </c:pt>
                <c:pt idx="15">
                  <c:v>6.4000000000000001E-2</c:v>
                </c:pt>
                <c:pt idx="16">
                  <c:v>3.7999999999999999E-2</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8"/>
              <c:layout>
                <c:manualLayout>
                  <c:x val="-4.0434778700607563E-2"/>
                  <c:y val="-3.721169629170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41-4768-BA34-C3C0E650E3A8}"/>
                </c:ext>
              </c:extLst>
            </c:dLbl>
            <c:dLbl>
              <c:idx val="9"/>
              <c:layout>
                <c:manualLayout>
                  <c:x val="-3.7585691343376526E-2"/>
                  <c:y val="-0.1037674367243196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40-4CC4-868D-A3D1C951EFEF}"/>
                </c:ext>
              </c:extLst>
            </c:dLbl>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238620429295667E-2"/>
                  <c:y val="3.571512795509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2.478771917208979E-2"/>
                  <c:y val="3.39980796909537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2.4498136363091599E-2"/>
                  <c:y val="3.2827552130026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0677381080789557E-2"/>
                  <c:y val="7.66603841741079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Q1 26</c:v>
                </c:pt>
                <c:pt idx="16">
                  <c:v>Apr 26</c:v>
                </c:pt>
              </c:strCache>
            </c:strRef>
          </c:cat>
          <c:val>
            <c:numRef>
              <c:f>Sheet1!$C$2:$C$18</c:f>
              <c:numCache>
                <c:formatCode>0.0%</c:formatCode>
                <c:ptCount val="17"/>
                <c:pt idx="0">
                  <c:v>0.21612143755047789</c:v>
                </c:pt>
                <c:pt idx="1">
                  <c:v>2.9661600528784558E-2</c:v>
                </c:pt>
                <c:pt idx="2">
                  <c:v>-7.6999999999999999E-2</c:v>
                </c:pt>
                <c:pt idx="3">
                  <c:v>-2.2463091503221268E-2</c:v>
                </c:pt>
                <c:pt idx="4">
                  <c:v>-1.8811345521405086E-2</c:v>
                </c:pt>
                <c:pt idx="5">
                  <c:v>-1.5225006700881137E-2</c:v>
                </c:pt>
                <c:pt idx="6">
                  <c:v>-4.255941365231905E-2</c:v>
                </c:pt>
                <c:pt idx="7">
                  <c:v>-2.5000000000000001E-2</c:v>
                </c:pt>
                <c:pt idx="8">
                  <c:v>-2E-3</c:v>
                </c:pt>
                <c:pt idx="9">
                  <c:v>4.0000000000000001E-3</c:v>
                </c:pt>
                <c:pt idx="10">
                  <c:v>2.4E-2</c:v>
                </c:pt>
                <c:pt idx="11">
                  <c:v>2.4E-2</c:v>
                </c:pt>
                <c:pt idx="12">
                  <c:v>6.8000000000000005E-2</c:v>
                </c:pt>
                <c:pt idx="13">
                  <c:v>4.2999999999999997E-2</c:v>
                </c:pt>
                <c:pt idx="14">
                  <c:v>2.5999999999999999E-2</c:v>
                </c:pt>
                <c:pt idx="15">
                  <c:v>2.8000000000000001E-2</c:v>
                </c:pt>
                <c:pt idx="16">
                  <c:v>-1.2E-2</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1.042708999160826E-2"/>
          <c:y val="4.480163220832594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8.042546793399484E-2"/>
          <c:y val="0.14057228759971743"/>
          <c:w val="0.88336798413790596"/>
          <c:h val="0.77593945450472956"/>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8.2315942752476223E-2"/>
                  <c:y val="-2.71314414001012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3.3402388053953007E-2"/>
                  <c:y val="0.1043805268478891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076E-2"/>
                  <c:y val="7.2012417068716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4.845271257657556E-2"/>
                  <c:y val="2.818082264908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3151198730202937E-2"/>
                  <c:y val="4.26429050675607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3654362483214802E-2"/>
                  <c:y val="-8.63176407569440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5.652069785681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9982164772908231E-2"/>
                  <c:y val="-4.47895661521530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9982164772908231E-2"/>
                  <c:y val="-6.56952882050645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3190557698959441E-2"/>
                  <c:y val="-7.4349941223681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2.4198136929808003E-2"/>
                  <c:y val="5.14101746104582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Q1 26</c:v>
                </c:pt>
                <c:pt idx="16">
                  <c:v>Apr 26</c:v>
                </c:pt>
              </c:strCache>
            </c:strRef>
          </c:cat>
          <c:val>
            <c:numRef>
              <c:f>Sheet1!$B$2:$B$18</c:f>
              <c:numCache>
                <c:formatCode>0.0%</c:formatCode>
                <c:ptCount val="17"/>
                <c:pt idx="0">
                  <c:v>0.43878525962161319</c:v>
                </c:pt>
                <c:pt idx="1">
                  <c:v>2.0446607749305748E-2</c:v>
                </c:pt>
                <c:pt idx="2">
                  <c:v>-0.156</c:v>
                </c:pt>
                <c:pt idx="3">
                  <c:v>1.5292022796500984E-2</c:v>
                </c:pt>
                <c:pt idx="4">
                  <c:v>-1.0536879344479753E-2</c:v>
                </c:pt>
                <c:pt idx="5">
                  <c:v>-8.046566298416695E-2</c:v>
                </c:pt>
                <c:pt idx="6">
                  <c:v>-0.10197981766643789</c:v>
                </c:pt>
                <c:pt idx="7">
                  <c:v>-0.10299999999999999</c:v>
                </c:pt>
                <c:pt idx="8">
                  <c:v>-9.4E-2</c:v>
                </c:pt>
                <c:pt idx="9">
                  <c:v>-0.03</c:v>
                </c:pt>
                <c:pt idx="10">
                  <c:v>-6.6000000000000003E-2</c:v>
                </c:pt>
                <c:pt idx="11">
                  <c:v>-3.6999999999999998E-2</c:v>
                </c:pt>
                <c:pt idx="12">
                  <c:v>-2.5000000000000001E-2</c:v>
                </c:pt>
                <c:pt idx="13">
                  <c:v>-4.5999999999999999E-2</c:v>
                </c:pt>
                <c:pt idx="14">
                  <c:v>-5.8999999999999997E-2</c:v>
                </c:pt>
                <c:pt idx="15">
                  <c:v>1.6E-2</c:v>
                </c:pt>
                <c:pt idx="16">
                  <c:v>-7.4999999999999997E-2</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2"/>
              <c:layout>
                <c:manualLayout>
                  <c:x val="-4.2808840880592156E-2"/>
                  <c:y val="7.9742371418803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69-43B0-97BA-9EDBA99CBDEA}"/>
                </c:ext>
              </c:extLst>
            </c:dLbl>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3.8100874207580487E-2"/>
                  <c:y val="-5.3300889048957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3.5283678619280862E-2"/>
                  <c:y val="-7.651890623028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9.31686011967333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6615987859010005E-2"/>
                  <c:y val="6.6404260414743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4.10425072533451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18E-2"/>
                  <c:y val="5.12803730970822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3.7164969184608813E-2"/>
                  <c:y val="4.69153858669918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3190557698959441E-2"/>
                  <c:y val="4.25386982187941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1937223600474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Q1 26</c:v>
                </c:pt>
                <c:pt idx="16">
                  <c:v>Apr 26</c:v>
                </c:pt>
              </c:strCache>
            </c:strRef>
          </c:cat>
          <c:val>
            <c:numRef>
              <c:f>Sheet1!$C$2:$C$18</c:f>
              <c:numCache>
                <c:formatCode>0.0%</c:formatCode>
                <c:ptCount val="17"/>
                <c:pt idx="0">
                  <c:v>0.38838021911923787</c:v>
                </c:pt>
                <c:pt idx="1">
                  <c:v>-4.2613655037908447E-2</c:v>
                </c:pt>
                <c:pt idx="2">
                  <c:v>-0.112</c:v>
                </c:pt>
                <c:pt idx="3">
                  <c:v>0.11363120529620017</c:v>
                </c:pt>
                <c:pt idx="4">
                  <c:v>7.9793243820720741E-2</c:v>
                </c:pt>
                <c:pt idx="5">
                  <c:v>-2.4441282541258274E-3</c:v>
                </c:pt>
                <c:pt idx="6">
                  <c:v>1.5053952111881978E-2</c:v>
                </c:pt>
                <c:pt idx="7">
                  <c:v>-7.0000000000000007E-2</c:v>
                </c:pt>
                <c:pt idx="8">
                  <c:v>-7.5999999999999998E-2</c:v>
                </c:pt>
                <c:pt idx="9">
                  <c:v>-1.4E-2</c:v>
                </c:pt>
                <c:pt idx="10">
                  <c:v>-0.10100000000000001</c:v>
                </c:pt>
                <c:pt idx="11">
                  <c:v>-8.5000000000000006E-2</c:v>
                </c:pt>
                <c:pt idx="12">
                  <c:v>-7.8E-2</c:v>
                </c:pt>
                <c:pt idx="13">
                  <c:v>-9.2999999999999999E-2</c:v>
                </c:pt>
                <c:pt idx="14">
                  <c:v>-8.1000000000000003E-2</c:v>
                </c:pt>
                <c:pt idx="15">
                  <c:v>-1E-3</c:v>
                </c:pt>
                <c:pt idx="16">
                  <c:v>-0.113</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429CC-A010-45A4-A4F2-E004E55A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1985</Words>
  <Characters>11320</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Anne-Marie Roerink</cp:lastModifiedBy>
  <cp:revision>12</cp:revision>
  <dcterms:created xsi:type="dcterms:W3CDTF">2026-05-10T13:57:00Z</dcterms:created>
  <dcterms:modified xsi:type="dcterms:W3CDTF">2026-05-11T17:57:00Z</dcterms:modified>
</cp:coreProperties>
</file>